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Registro de actividades de tratamiento de datos personales</w:t>
      </w:r>
    </w:p>
    <w:p>
      <w:pPr>
        <w:spacing w:before="0" w:after="160" w:line="276" w:lineRule="auto"/>
      </w:pPr>
      <w:r>
        <w:rPr>
          <w:rFonts w:ascii="Arial" w:hAnsi="Arial" w:eastAsia="Arial"/>
          <w:b w:val="0"/>
          <w:i w:val="0"/>
          <w:color w:val="6A6488"/>
          <w:sz w:val="17"/>
        </w:rPr>
        <w:t>Inventario de los datos personales que maneja la residencia: qué datos son, para qué se usan, dónde se guardan, quién los ve y cuánto tiempo se conservan. Normativa de referencia: Ley 21.719 (Ley 19.628 modificada, artículos 14 ter, 15 ter, 16, 16 bis y 16 ter); Decreto 20 de 2021 del Ministerio de Salud, artículos 12 letra t), 28, 29 y 30; Decreto 41 de 2012 del Minsal. Documento referencial: valídalo antes de usarlo.</w:t>
      </w:r>
    </w:p>
    <w:p>
      <w:pPr>
        <w:spacing w:before="160" w:after="80" w:line="276" w:lineRule="auto"/>
      </w:pPr>
      <w:r>
        <w:rPr>
          <w:rFonts w:ascii="Arial" w:hAnsi="Arial" w:eastAsia="Arial"/>
          <w:b/>
          <w:i w:val="0"/>
          <w:color w:val="6848DB"/>
          <w:sz w:val="22"/>
        </w:rPr>
        <w:t>1. Para qué sirve</w:t>
      </w:r>
    </w:p>
    <w:p>
      <w:pPr>
        <w:spacing w:before="0" w:after="80" w:line="276" w:lineRule="auto"/>
      </w:pPr>
      <w:r>
        <w:rPr>
          <w:rFonts w:ascii="Arial" w:hAnsi="Arial" w:eastAsia="Arial"/>
          <w:b w:val="0"/>
          <w:i w:val="0"/>
          <w:color w:val="1B1537"/>
          <w:sz w:val="18"/>
        </w:rPr>
        <w:t xml:space="preserve">Este registro es el inventario de los datos personales de la residencia. Te permite saber </w:t>
      </w:r>
      <w:r>
        <w:rPr>
          <w:rFonts w:ascii="Arial" w:hAnsi="Arial" w:eastAsia="Arial"/>
          <w:b/>
          <w:i w:val="0"/>
          <w:color w:val="1B1537"/>
          <w:sz w:val="18"/>
        </w:rPr>
        <w:t>qué datos tienes, dónde están y quién los ve</w:t>
      </w:r>
      <w:r>
        <w:rPr>
          <w:rFonts w:ascii="Arial" w:hAnsi="Arial" w:eastAsia="Arial"/>
          <w:b w:val="0"/>
          <w:i w:val="0"/>
          <w:color w:val="1B1537"/>
          <w:sz w:val="18"/>
        </w:rPr>
        <w:t>, y es el punto de partida para proteger la información de residentes, familias y trabajadores.</w:t>
      </w:r>
    </w:p>
    <w:p>
      <w:pPr>
        <w:spacing w:before="0" w:after="80" w:line="276" w:lineRule="auto"/>
      </w:pPr>
      <w:r>
        <w:rPr>
          <w:rFonts w:ascii="Arial" w:hAnsi="Arial" w:eastAsia="Arial"/>
          <w:b w:val="0"/>
          <w:i w:val="0"/>
          <w:color w:val="1B1537"/>
          <w:sz w:val="18"/>
        </w:rPr>
        <w:t>Llevarlo es una buena práctica. Ordena la información que la Ley 21.719, vigente desde el 1 de diciembre de 2026, exige mantener a disposición del público en la política de protección de datos (MACA-DAT-01): qué datos se tratan, de quiénes, para qué, con qué base, a quién se comunican y por cuánto tiempo se guardan. También te ayuda a responder con rapidez a la Agencia de Protección de Datos Personales, a un residente o a su familia.</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i w:val="0"/>
                <w:color w:val="1B1537"/>
                <w:sz w:val="17"/>
              </w:rPr>
              <w:t>Evaluación de impacto.</w:t>
            </w:r>
            <w:r>
              <w:rPr>
                <w:rFonts w:ascii="Arial" w:hAnsi="Arial" w:eastAsia="Arial"/>
                <w:b w:val="0"/>
                <w:i w:val="0"/>
                <w:color w:val="1B1537"/>
                <w:sz w:val="17"/>
              </w:rPr>
              <w:t xml:space="preserve"> La Ley 21.719 exige evaluar el impacto en protección de datos antes de iniciar un tratamiento que pueda producir un alto riesgo para las personas, y siempre, entre otros casos, al tratar datos sensibles sin consentimiento en los casos que la ley permite, como los datos de salud para la atención. La Agencia publicará orientaciones para hacerla. Revisa con tu asesor cómo aplicarla en tu residencia: este registro es su punto de partida.</w:t>
            </w:r>
          </w:p>
        </w:tc>
      </w:tr>
    </w:tbl>
    <w:p>
      <w:pPr>
        <w:spacing w:after="40"/>
      </w:pPr>
    </w:p>
    <w:tbl>
      <w:tblPr>
        <w:tblW w:type="auto" w:w="0"/>
        <w:jc w:val="left"/>
        <w:tblLayout w:type="fixed"/>
        <w:tblLook w:firstColumn="1" w:firstRow="1" w:lastColumn="0" w:lastRow="0" w:noHBand="0" w:noVBand="1" w:val="04A0"/>
      </w:tblPr>
      <w:tblGrid>
        <w:gridCol w:w="6055"/>
        <w:gridCol w:w="4037"/>
      </w:tblGrid>
      <w:tr>
        <w:trPr>
          <w:trHeight w:val="624" w:hRule="atLeast"/>
        </w:trPr>
        <w:tc>
          <w:tcPr>
            <w:tcW w:type="dxa" w:w="605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ESTABLECIMIENTO</w:t>
            </w:r>
          </w:p>
        </w:tc>
        <w:tc>
          <w:tcPr>
            <w:tcW w:type="dxa" w:w="4037"/>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RESPONSABLE DEL REGISTRO</w:t>
            </w:r>
          </w:p>
        </w:tc>
      </w:tr>
    </w:tbl>
    <w:p>
      <w:pPr>
        <w:spacing w:after="0"/>
      </w:pPr>
    </w:p>
    <w:tbl>
      <w:tblPr>
        <w:tblW w:type="auto" w:w="0"/>
        <w:jc w:val="left"/>
        <w:tblLayout w:type="fixed"/>
        <w:tblLook w:firstColumn="1" w:firstRow="1" w:lastColumn="0" w:lastRow="0" w:noHBand="0" w:noVBand="1" w:val="04A0"/>
      </w:tblPr>
      <w:tblGrid>
        <w:gridCol w:w="3364"/>
        <w:gridCol w:w="3364"/>
        <w:gridCol w:w="3364"/>
      </w:tblGrid>
      <w:tr>
        <w:trPr>
          <w:trHeight w:val="624" w:hRule="atLeast"/>
        </w:trPr>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 DE ELABORACIÓN</w:t>
            </w:r>
          </w:p>
        </w:tc>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ÚLTIMA ACTUALIZACIÓN</w:t>
            </w:r>
          </w:p>
        </w:tc>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PRÓXIMA REVISIÓN</w:t>
            </w:r>
          </w:p>
        </w:tc>
      </w:tr>
    </w:tbl>
    <w:p>
      <w:pPr>
        <w:spacing w:after="0"/>
      </w:pPr>
    </w:p>
    <w:p>
      <w:pPr>
        <w:spacing w:before="160" w:after="80" w:line="276" w:lineRule="auto"/>
      </w:pPr>
      <w:r>
        <w:rPr>
          <w:rFonts w:ascii="Arial" w:hAnsi="Arial" w:eastAsia="Arial"/>
          <w:b/>
          <w:i w:val="0"/>
          <w:color w:val="6848DB"/>
          <w:sz w:val="22"/>
        </w:rPr>
        <w:t>2. Cómo completarlo</w:t>
      </w:r>
    </w:p>
    <w:p>
      <w:pPr>
        <w:pStyle w:val="ListBullet"/>
        <w:spacing w:before="0" w:after="40" w:line="276" w:lineRule="auto"/>
      </w:pPr>
      <w:r>
        <w:rPr>
          <w:rFonts w:ascii="Arial" w:hAnsi="Arial" w:eastAsia="Arial"/>
          <w:b w:val="0"/>
          <w:i w:val="0"/>
          <w:color w:val="1B1537"/>
          <w:sz w:val="18"/>
        </w:rPr>
        <w:t xml:space="preserve">Anota una fila por cada </w:t>
      </w:r>
      <w:r>
        <w:rPr>
          <w:rFonts w:ascii="Arial" w:hAnsi="Arial" w:eastAsia="Arial"/>
          <w:b/>
          <w:i w:val="0"/>
          <w:color w:val="1B1537"/>
          <w:sz w:val="18"/>
        </w:rPr>
        <w:t>actividad</w:t>
      </w:r>
      <w:r>
        <w:rPr>
          <w:rFonts w:ascii="Arial" w:hAnsi="Arial" w:eastAsia="Arial"/>
          <w:b w:val="0"/>
          <w:i w:val="0"/>
          <w:color w:val="1B1537"/>
          <w:sz w:val="18"/>
        </w:rPr>
        <w:t xml:space="preserve"> en que la residencia usa datos personales. Las filas de ejemplo son las más comunes en un ELEAM: ajústalas a tu realidad, borra las que no apliquen y agrega las que falten.</w:t>
      </w:r>
    </w:p>
    <w:p>
      <w:pPr>
        <w:pStyle w:val="ListBullet"/>
        <w:spacing w:before="0" w:after="40" w:line="276" w:lineRule="auto"/>
      </w:pPr>
      <w:r>
        <w:rPr>
          <w:rFonts w:ascii="Arial" w:hAnsi="Arial" w:eastAsia="Arial"/>
          <w:b w:val="0"/>
          <w:i w:val="0"/>
          <w:color w:val="1B1537"/>
          <w:sz w:val="18"/>
        </w:rPr>
        <w:t xml:space="preserve">En </w:t>
      </w:r>
      <w:r>
        <w:rPr>
          <w:rFonts w:ascii="Arial" w:hAnsi="Arial" w:eastAsia="Arial"/>
          <w:b/>
          <w:i w:val="0"/>
          <w:color w:val="1B1537"/>
          <w:sz w:val="18"/>
        </w:rPr>
        <w:t>¿Sensibles?</w:t>
      </w:r>
      <w:r>
        <w:rPr>
          <w:rFonts w:ascii="Arial" w:hAnsi="Arial" w:eastAsia="Arial"/>
          <w:b w:val="0"/>
          <w:i w:val="0"/>
          <w:color w:val="1B1537"/>
          <w:sz w:val="18"/>
        </w:rPr>
        <w:t xml:space="preserve"> marca «Sí» cuando la actividad incluya datos de salud, biométricos (huella, rostro) o sobre la situación socioeconómica. Los datos sensibles exigen el mayor cuidado.</w:t>
      </w:r>
    </w:p>
    <w:p>
      <w:pPr>
        <w:pStyle w:val="ListBullet"/>
        <w:spacing w:before="0" w:after="40" w:line="276" w:lineRule="auto"/>
      </w:pPr>
      <w:r>
        <w:rPr>
          <w:rFonts w:ascii="Arial" w:hAnsi="Arial" w:eastAsia="Arial"/>
          <w:b w:val="0"/>
          <w:i w:val="0"/>
          <w:color w:val="1B1537"/>
          <w:sz w:val="18"/>
        </w:rPr>
        <w:t xml:space="preserve">En </w:t>
      </w:r>
      <w:r>
        <w:rPr>
          <w:rFonts w:ascii="Arial" w:hAnsi="Arial" w:eastAsia="Arial"/>
          <w:b/>
          <w:i w:val="0"/>
          <w:color w:val="1B1537"/>
          <w:sz w:val="18"/>
        </w:rPr>
        <w:t>Dónde se guarda</w:t>
      </w:r>
      <w:r>
        <w:rPr>
          <w:rFonts w:ascii="Arial" w:hAnsi="Arial" w:eastAsia="Arial"/>
          <w:b w:val="0"/>
          <w:i w:val="0"/>
          <w:color w:val="1B1537"/>
          <w:sz w:val="18"/>
        </w:rPr>
        <w:t xml:space="preserve"> indica si es papel, digital o ambos, y el lugar exacto: mueble, sala, computador, sistema o nube. Si los datos quedan fuera de Chile, anota el país: es una transferencia internacional y requiere garantías adecuadas.</w:t>
      </w:r>
    </w:p>
    <w:p>
      <w:pPr>
        <w:pStyle w:val="ListBullet"/>
        <w:spacing w:before="0" w:after="40" w:line="276" w:lineRule="auto"/>
      </w:pPr>
      <w:r>
        <w:rPr>
          <w:rFonts w:ascii="Arial" w:hAnsi="Arial" w:eastAsia="Arial"/>
          <w:b w:val="0"/>
          <w:i w:val="0"/>
          <w:color w:val="1B1537"/>
          <w:sz w:val="18"/>
        </w:rPr>
        <w:t xml:space="preserve">En </w:t>
      </w:r>
      <w:r>
        <w:rPr>
          <w:rFonts w:ascii="Arial" w:hAnsi="Arial" w:eastAsia="Arial"/>
          <w:b/>
          <w:i w:val="0"/>
          <w:color w:val="1B1537"/>
          <w:sz w:val="18"/>
        </w:rPr>
        <w:t>Quién accede</w:t>
      </w:r>
      <w:r>
        <w:rPr>
          <w:rFonts w:ascii="Arial" w:hAnsi="Arial" w:eastAsia="Arial"/>
          <w:b w:val="0"/>
          <w:i w:val="0"/>
          <w:color w:val="1B1537"/>
          <w:sz w:val="18"/>
        </w:rPr>
        <w:t xml:space="preserve"> anota cargos, no nombres, y solo a quienes necesitan esos datos para su trabajo.</w:t>
      </w:r>
    </w:p>
    <w:p>
      <w:pPr>
        <w:pStyle w:val="ListBullet"/>
        <w:spacing w:before="0" w:after="40" w:line="276" w:lineRule="auto"/>
      </w:pPr>
      <w:r>
        <w:rPr>
          <w:rFonts w:ascii="Arial" w:hAnsi="Arial" w:eastAsia="Arial"/>
          <w:b w:val="0"/>
          <w:i w:val="0"/>
          <w:color w:val="1B1537"/>
          <w:sz w:val="18"/>
        </w:rPr>
        <w:t xml:space="preserve">En </w:t>
      </w:r>
      <w:r>
        <w:rPr>
          <w:rFonts w:ascii="Arial" w:hAnsi="Arial" w:eastAsia="Arial"/>
          <w:b/>
          <w:i w:val="0"/>
          <w:color w:val="1B1537"/>
          <w:sz w:val="18"/>
        </w:rPr>
        <w:t>Se comparte con</w:t>
      </w:r>
      <w:r>
        <w:rPr>
          <w:rFonts w:ascii="Arial" w:hAnsi="Arial" w:eastAsia="Arial"/>
          <w:b w:val="0"/>
          <w:i w:val="0"/>
          <w:color w:val="1B1537"/>
          <w:sz w:val="18"/>
        </w:rPr>
        <w:t xml:space="preserve"> anota a los terceros que reciben datos. Si un proveedor trata datos por encargo de la residencia (contador, software, nube), debe existir un contrato que lo regule, como el anexo de encargo (MACA-DAT-06).</w:t>
      </w:r>
    </w:p>
    <w:p>
      <w:pPr>
        <w:pStyle w:val="ListBullet"/>
        <w:spacing w:before="0" w:after="40" w:line="276" w:lineRule="auto"/>
      </w:pPr>
      <w:r>
        <w:rPr>
          <w:rFonts w:ascii="Arial" w:hAnsi="Arial" w:eastAsia="Arial"/>
          <w:b w:val="0"/>
          <w:i w:val="0"/>
          <w:color w:val="1B1537"/>
          <w:sz w:val="18"/>
        </w:rPr>
        <w:t>Revisa el registro al menos una vez al año y cada vez que cambies de sistema, de proveedor o de forma de trabajar.</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La base de legitimidad y los plazos de la tabla son ejemplos de referencia: revísalos con tu asesor. La ficha clínica se conserva al menos 15 años desde el último registro (Decreto 41 de 2012 del Minsal); para los demás documentos, define el plazo con tu asesor y anótalo en los espacios ________.</w:t>
            </w:r>
          </w:p>
        </w:tc>
      </w:tr>
    </w:tbl>
    <w:p>
      <w:pPr>
        <w:spacing w:after="40"/>
      </w:pPr>
    </w:p>
    <w:p>
      <w:pPr>
        <w:spacing w:before="160" w:after="80" w:line="276" w:lineRule="auto"/>
      </w:pPr>
      <w:r>
        <w:rPr>
          <w:rFonts w:ascii="Arial" w:hAnsi="Arial" w:eastAsia="Arial"/>
          <w:b/>
          <w:i w:val="0"/>
          <w:color w:val="6848DB"/>
          <w:sz w:val="22"/>
        </w:rPr>
        <w:t>3. Registro de actividades</w:t>
      </w:r>
    </w:p>
    <w:p>
      <w:pPr>
        <w:spacing w:before="0" w:after="80" w:line="276" w:lineRule="auto"/>
      </w:pPr>
      <w:r>
        <w:rPr>
          <w:rFonts w:ascii="Arial" w:hAnsi="Arial" w:eastAsia="Arial"/>
          <w:b w:val="0"/>
          <w:i w:val="0"/>
          <w:color w:val="1B1537"/>
          <w:sz w:val="18"/>
        </w:rPr>
        <w:t>Una fila por actividad. Usa las filas vacías del final para agregar las actividades propias de tu residencia.</w:t>
      </w:r>
    </w:p>
    <w:tbl>
      <w:tblPr>
        <w:tblW w:type="auto" w:w="0"/>
        <w:jc w:val="left"/>
        <w:tblLayout w:type="fixed"/>
        <w:tblLook w:firstColumn="1" w:firstRow="1" w:lastColumn="0" w:lastRow="0" w:noHBand="0" w:noVBand="1" w:val="04A0"/>
      </w:tblPr>
      <w:tblGrid>
        <w:gridCol w:w="1305"/>
        <w:gridCol w:w="1004"/>
        <w:gridCol w:w="1175"/>
        <w:gridCol w:w="1004"/>
        <w:gridCol w:w="1376"/>
        <w:gridCol w:w="984"/>
        <w:gridCol w:w="1004"/>
        <w:gridCol w:w="974"/>
        <w:gridCol w:w="1265"/>
      </w:tblGrid>
      <w:tr>
        <w:trPr>
          <w:trHeight w:val="340" w:hRule="atLeast"/>
          <w:tblHeader/>
        </w:trPr>
        <w:tc>
          <w:tcPr>
            <w:tcW w:type="dxa" w:w="130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Actividad</w:t>
            </w:r>
          </w:p>
        </w:tc>
        <w:tc>
          <w:tcPr>
            <w:tcW w:type="dxa" w:w="100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Datos que incluye</w:t>
            </w:r>
          </w:p>
        </w:tc>
        <w:tc>
          <w:tcPr>
            <w:tcW w:type="dxa" w:w="117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¿Sensibles?</w:t>
            </w:r>
          </w:p>
        </w:tc>
        <w:tc>
          <w:tcPr>
            <w:tcW w:type="dxa" w:w="100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Finalidad</w:t>
            </w:r>
          </w:p>
        </w:tc>
        <w:tc>
          <w:tcPr>
            <w:tcW w:type="dxa" w:w="137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Base de legitimidad</w:t>
            </w:r>
          </w:p>
        </w:tc>
        <w:tc>
          <w:tcPr>
            <w:tcW w:type="dxa" w:w="98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Dónde se guarda (papel / digital)</w:t>
            </w:r>
          </w:p>
        </w:tc>
        <w:tc>
          <w:tcPr>
            <w:tcW w:type="dxa" w:w="100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Quién accede</w:t>
            </w:r>
          </w:p>
        </w:tc>
        <w:tc>
          <w:tcPr>
            <w:tcW w:type="dxa" w:w="97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Se comparte con</w:t>
            </w:r>
          </w:p>
        </w:tc>
        <w:tc>
          <w:tcPr>
            <w:tcW w:type="dxa" w:w="126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Plazo de conservación</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Carpeta personal y ficha clínica</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Nombre, RUT, previsión, historial de salud y social, informes</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Sí (salud)</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Cuidado integral y atención de salud</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Asistencia sanitaria y social (Ley 21.719) y obligación legal: Decreto 20, art. 29 e)</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Papel: sala de salud. Digital: ________</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 técnica y equipo que lo atiende</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Centro de salud o urgencia, si se deriva; SEREMI al fiscalizar</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Ficha clínica: al menos 15 años desde el último registro (Decreto 41 de 2012)</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Registro de medicamentos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Fármacos, dosis, horarios, recepción y entrega</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Sí (salud)</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Dar los fármacos con seguridad</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Asistencia sanitaria (Ley 21.719) y obligación legal: Decreto 20, art. 29 e)</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Planilla en papel o sistema ________</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TENS y equipo de turno</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Médico tratante y farmacia</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Es parte de la carpeta: mismo plazo</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Contrato y cobros</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Datos del residente y su familia, RUT, domicilio, montos y pagos</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Puede haber (situación socioeconómica)</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Prestar el servicio, cobrar y rendir cuentas</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Contrato: Decreto 20, art. 28</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Archivo de la oficina y sistema contable</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 y oficina</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Contador, banco y SII</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Según normas tributarias: ________</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Contactos de familia</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Nombre, vínculo, teléfono, correo y domicilio</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Avisar en urgencias e informar a la familia</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Contrato: Decreto 20, art. 28 e)</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Carpeta personal y celular de turno</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Dirección, TENS y encargado de turno</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 se comparte</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Durante la estadía y ________</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Reportes al SENAMA</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Identificación de residentes y trabajadores e información administrativa</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No</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Informar al SENAMA</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Obligación legal: Decreto 20, art. 12 t)</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Medio que dispone el SENAMA</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 técnica</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SENAMA, al menos cada tres meses</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________</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Registro de visitas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Nombre, RUT, residente visitado, fecha, hora y firma</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Seguridad y control del ingreso</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Interés legítimo: seguridad de los residentes</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Libro en recepción</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Dirección y recepción</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 se comparte</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________</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Cámaras de seguridad (si existen)</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Imágenes de las personas que graba</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Puede haber</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Seguridad de personas y bienes</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Interés legítimo: seguridad</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Grabador digital en ________</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 y ________</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Autoridad que lo pida por escrito</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________ días</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Fotos y redes sociales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Imagen y nombre del residente en talleres y paseos</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Puede haber</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Informar a las familias y difundir la vida diaria</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Consentimiento expreso: autorización de uso de imagen (MACA-DAT-03)</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Celular de trabajo, nube y redes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Quien coordina los talleres</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Familias y público de las redes</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Mientras siga vigente la autorización</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Datos del personal y sueldos</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Nombre, RUT, contrato, previsión, cuenta bancaria, licencias</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Sí (licencias médicas)</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Gestionar el contrato y pagar sueldos</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Contrato de trabajo y obligación legal: Código del Trabajo</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Carpeta del trabajador y sistema de sueldos</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 y oficina</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Contador, AFP, salud y mutual</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Según normas laborales y tributarias: ________</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Control de asistencia con huella o rostro (si existe)</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Huella digital o rasgos faciales</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Sí (biométricos)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Registrar la asistencia del personal</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Consentimiento expreso del trabajador, informándole el sistema, la finalidad y el plazo de uso</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Reloj control o sistema ________</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Dirección y oficina</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Proveedor del sistema, con contrato</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________</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Postulantes</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Hoja de vida, contacto y títulos</w:t>
            </w: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Puede haber</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Contratar personal</w:t>
            </w: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Medidas previas al contrato, a pedido del postulante</w:t>
            </w: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Correo y carpeta de selección</w:t>
            </w: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Dirección</w:t>
            </w: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No se comparte</w:t>
            </w: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Hasta terminar la selección, salvo que autorice guardarlos ________ meses</w:t>
            </w: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Libro de reclamos</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Nombre, contacto, residente y relato del caso</w:t>
            </w: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Puede haber</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Dar respuesta y mejorar el servicio</w:t>
            </w: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Obligación legal: Decreto 20, art. 29 b)</w:t>
            </w: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Libro foliado o registro digital</w:t>
            </w: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Dirección</w:t>
            </w: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SEREMI de Salud al fiscalizar</w:t>
            </w: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________</w:t>
            </w: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30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3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7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37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8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0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4. Historial de revisiones</w:t>
      </w:r>
    </w:p>
    <w:p>
      <w:pPr>
        <w:spacing w:before="0" w:after="80" w:line="276" w:lineRule="auto"/>
      </w:pPr>
      <w:r>
        <w:rPr>
          <w:rFonts w:ascii="Arial" w:hAnsi="Arial" w:eastAsia="Arial"/>
          <w:b w:val="0"/>
          <w:i w:val="0"/>
          <w:color w:val="1B1537"/>
          <w:sz w:val="18"/>
        </w:rPr>
        <w:t>Anota cada revisión o actualización del registro. El director(a) técnico(a) firma para dejar constancia de que la conoce.</w:t>
      </w:r>
    </w:p>
    <w:tbl>
      <w:tblPr>
        <w:tblW w:type="auto" w:w="0"/>
        <w:jc w:val="left"/>
        <w:tblLayout w:type="fixed"/>
        <w:tblLook w:firstColumn="1" w:firstRow="1" w:lastColumn="0" w:lastRow="0" w:noHBand="0" w:noVBand="1" w:val="04A0"/>
      </w:tblPr>
      <w:tblGrid>
        <w:gridCol w:w="1261"/>
        <w:gridCol w:w="4289"/>
        <w:gridCol w:w="2271"/>
        <w:gridCol w:w="2271"/>
      </w:tblGrid>
      <w:tr>
        <w:trPr>
          <w:trHeight w:val="340" w:hRule="atLeast"/>
          <w:tblHeader/>
        </w:trPr>
        <w:tc>
          <w:tcPr>
            <w:tcW w:type="dxa" w:w="126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c>
          <w:tcPr>
            <w:tcW w:type="dxa" w:w="428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Qué se revisó o cambió</w:t>
            </w:r>
          </w:p>
        </w:tc>
        <w:tc>
          <w:tcPr>
            <w:tcW w:type="dxa" w:w="22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del registro</w:t>
            </w:r>
          </w:p>
        </w:tc>
        <w:tc>
          <w:tcPr>
            <w:tcW w:type="dxa" w:w="22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 del director(a) técnico(a)</w:t>
            </w:r>
          </w:p>
        </w:tc>
      </w:tr>
      <w:tr>
        <w:trPr>
          <w:trHeight w:val="369" w:hRule="atLeast"/>
        </w:trPr>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28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28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28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28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28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271"/>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Registro de actividades de tratamiento de datos personales</w:t>
    </w:r>
  </w:p>
  <w:p>
    <w:pPr>
      <w:jc w:val="right"/>
    </w:pPr>
    <w:r>
      <w:rPr>
        <w:rFonts w:ascii="Arial" w:hAnsi="Arial" w:eastAsia="Arial"/>
        <w:b w:val="0"/>
        <w:i w:val="0"/>
        <w:color w:val="6A6488"/>
        <w:sz w:val="14"/>
      </w:rPr>
      <w:t>MACA-DAT-07 · Registro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de actividades de tratamiento de datos personales | MACA</dc:title>
  <dc:subject>Inventario de los datos personales que maneja la residencia: qué datos son, para qué se usan, dónde se guardan, quién los ve y cuánto tiempo se conservan.</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