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traslado y derivación a la red de salud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se coordinan los controles, las horas médicas, los exámenes y los traslados de los residentes con la red de salud, y qué información viaja con ellos. Normativa de referencia: Decreto 20 de 2021 del Ministerio de Salud, artículos 12 letras e), j), k), l), m) y n), 19 letra d), 24, 26, 29 letra e) y 30; Ley 20.584;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MACA-CLI-08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Asegurar que cada residente tenga sus controles de salud al día y que, cuando necesite una atención fuera de la residencia, salga acompañado, con la información correcta y vuelva con sus indicaciones registradas y aplicadas.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todos los residentes y a todo el personal que coordina, acompaña o recibe a un residente en controles, exámenes, interconsultas, atenciones de urgencia u hospitalizaciones.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verifica el sistema de salud de cada residente, mantiene la vinculación con la red de salud, pide el informe de salud a los centros y coordina con la familia.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 o auxiliar de enfermería: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lleva la agenda de controles y exámenes, prepara la documentación y revisa las indicaciones al regreso.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Cuidador(a) acompañante: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revisa la carpeta antes de salir, acompaña al residente, anota las indicaciones y entrega recetas y documentos al volver.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organiza quién acompaña sin dejar el turno con menos personal del necesario.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Vinculación con la red de salud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debe asegurar el control de salud de cada residente a través de la atención primaria o de un centro privado, según corresponda, y permitir que los funcionarios de salud entren a la residencia (art. 26). Para eso: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ingreso, verifica el sistema de salud del residente (Fonasa, isapre u otro). Si no tiene, gestiona su incorporación (art. 12 letra e). El residente mantiene su derecho a la atención según su sistema previsional (art. 24).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se atiende en el sistema público, inscríbelo en el centro de atención primaria del territorio donde está la residencia (art. 12 letra l).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Pide a los centros de salud un informe de salud con orientaciones para su plan de cuidados y sus indicaciones (art. 12 letra j).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Coordina con el centro de salud las visitas a la residencia, las campañas de vacunación y el retiro de medicamentos.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no hay atención oportuna, la residencia puede contratar atención privada, de preferencia de médico geriatra, neurólogo o médico de familia (art. 26).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 gestiona la red de derivación con los centros de salud cercanos (art. 12 letra m). Complétala y déjala visible en la sala de atención de salud: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27"/>
        <w:gridCol w:w="2843"/>
        <w:gridCol w:w="1563"/>
        <w:gridCol w:w="2558"/>
      </w:tblGrid>
      <w:tr>
        <w:trPr>
          <w:trHeight w:val="340" w:hRule="atLeast"/>
          <w:tblHeader/>
        </w:trPr>
        <w:tc>
          <w:tcPr>
            <w:tcW w:type="dxa" w:w="312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Centro</w:t>
            </w:r>
          </w:p>
        </w:tc>
        <w:tc>
          <w:tcPr>
            <w:tcW w:type="dxa" w:w="28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Dirección</w:t>
            </w:r>
          </w:p>
        </w:tc>
        <w:tc>
          <w:tcPr>
            <w:tcW w:type="dxa" w:w="15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Teléfono</w:t>
            </w:r>
          </w:p>
        </w:tc>
        <w:tc>
          <w:tcPr>
            <w:tcW w:type="dxa" w:w="25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Contacto y horario</w:t>
            </w:r>
          </w:p>
        </w:tc>
      </w:tr>
      <w:tr>
        <w:trPr>
          <w:trHeight w:val="369" w:hRule="atLeast"/>
        </w:trPr>
        <w:tc>
          <w:tcPr>
            <w:tcW w:type="dxa" w:w="312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Centro de atención primaria (CESFAM u otro)</w:t>
            </w:r>
          </w:p>
        </w:tc>
        <w:tc>
          <w:tcPr>
            <w:tcW w:type="dxa" w:w="28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2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Servicio de urgencia de atención primaria (SAPU o SAR)</w:t>
            </w:r>
          </w:p>
        </w:tc>
        <w:tc>
          <w:tcPr>
            <w:tcW w:type="dxa" w:w="28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2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Servicio de urgencia hospitalario</w:t>
            </w:r>
          </w:p>
        </w:tc>
        <w:tc>
          <w:tcPr>
            <w:tcW w:type="dxa" w:w="28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2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Centro privado o médico en convenio</w:t>
            </w:r>
          </w:p>
        </w:tc>
        <w:tc>
          <w:tcPr>
            <w:tcW w:type="dxa" w:w="28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2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Laboratorio</w:t>
            </w:r>
          </w:p>
        </w:tc>
        <w:tc>
          <w:tcPr>
            <w:tcW w:type="dxa" w:w="28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2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Traslado no urgente (ambulancia o vehículo)</w:t>
            </w:r>
          </w:p>
        </w:tc>
        <w:tc>
          <w:tcPr>
            <w:tcW w:type="dxa" w:w="28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Controles, horas médicas y exámenes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Mantén una </w:t>
      </w:r>
      <w:r>
        <w:rPr>
          <w:rFonts w:ascii="Arial" w:hAnsi="Arial" w:eastAsia="Arial"/>
          <w:b/>
          <w:i w:val="0"/>
          <w:color w:val="1B1537"/>
          <w:sz w:val="18"/>
        </w:rPr>
        <w:t>agenda única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 los controles de cada residente: enfermedades crónicas, examen preventivo anual, especialistas, exámenes, curaciones y vacunas.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Confirma cada hora el día anterior y revisa si hay preparación indicada, como ayuno o suspender algún medicamento. Sigue solo lo que indica la orden médica.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Avisa a la familia o a la persona significativa: puede acompañar si lo desea.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Vigila que las recetas estén vigentes y anota en la agenda la fecha del próximo retiro de medicamentos.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cada hora pedida, cada atención y cada resultado en la carpeta personal.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Cómo acompañar a una atención programada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Antes de salir, revisa la carpeta: motivo de la consulta, últimas indicaciones, signos vitales recientes y las preguntas que el equipo quiere hacer al médico.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Lleva la cédula de identidad, la credencial o carné de salud, la orden o interconsulta, los exámenes anteriores y el resumen de salud (sección 9).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Lleva también lentes, audífonos, prótesis dental, abrigo, agua, colación si corresponde y los insumos que use, como pañales.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Durante la atención, ayuda al residente a comunicarse, pero deja que hable por sí mismo y cuida su privacidad.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Anota las indicaciones, los cambios de medicamentos y las fechas de los próximos controles. Si algo no queda claro, pregunta antes de salir.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Al volver, entrega las recetas, órdenes e indicaciones al técnico de enfermería y registra la atención en la carpeta.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Descompensación sin riesgo vital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Si un residente presenta una enfermedad aguda o se descompensa una enfermedad crónica, sin riesgo vital, el técnico de enfermería lo evalúa, toma signos vitales y avisa al médico y a la dirección técnica. Según el Decreto 20 (art. 24), el residente solo puede quedarse en la residencia si se cumplen </w:t>
      </w:r>
      <w:r>
        <w:rPr>
          <w:rFonts w:ascii="Arial" w:hAnsi="Arial" w:eastAsia="Arial"/>
          <w:b/>
          <w:i w:val="0"/>
          <w:color w:val="1B1537"/>
          <w:sz w:val="18"/>
        </w:rPr>
        <w:t>las tres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condiciones: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Existe una </w:t>
      </w:r>
      <w:r>
        <w:rPr>
          <w:rFonts w:ascii="Arial" w:hAnsi="Arial" w:eastAsia="Arial"/>
          <w:b/>
          <w:i w:val="0"/>
          <w:color w:val="1B1537"/>
          <w:sz w:val="18"/>
        </w:rPr>
        <w:t>indicación médica expresa y escrita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para que siga en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tiene el personal y el equipamiento clínico y terapéutico para cuidarlo.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Su permanencia no es un riesgo para él ni para los demás residentes.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Si falta alguna, se traslada a un establecimiento que pueda atenderlo, con el </w:t>
      </w:r>
      <w:r>
        <w:rPr>
          <w:rFonts w:ascii="Arial" w:hAnsi="Arial" w:eastAsia="Arial"/>
          <w:b/>
          <w:i w:val="0"/>
          <w:color w:val="1B1537"/>
          <w:sz w:val="18"/>
        </w:rPr>
        <w:t>consentimiento informado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del residente o de quien lo represente. Explícale con palabras simples por qué se traslada, adónde y qué puede pasar si no va (art. 12 letra k), y deja constancia en la carpeta. Si el residente no acepta el traslado, informa al médico y a la dirección técnica, avisa a la familia y registra su decisión.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Riesgo vital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Si hay riesgo vital, el residente se traslada a un servicio de urgencia sin esperar: llama al </w:t>
            </w: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SAMU (131)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y sigue el Protocolo de acción ante urgencias médicas (MACA-PRO-02). Lo que se indica en las secciones 9 y 10 también aplica en ese caso.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Qué lleva el residente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Prepara un </w:t>
      </w:r>
      <w:r>
        <w:rPr>
          <w:rFonts w:ascii="Arial" w:hAnsi="Arial" w:eastAsia="Arial"/>
          <w:b/>
          <w:i w:val="0"/>
          <w:color w:val="1B1537"/>
          <w:sz w:val="18"/>
        </w:rPr>
        <w:t>resumen de salud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actualizado de cada residente, listo para imprimir. Debe incluir: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Nombre, RUT, fecha de nacimiento, sistema de salud y nombre de la residencia con su teléfono.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Contacto de la familia, del representante legal o de la persona significativa.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Diagnósticos, alergias y medicamentos que usa, con dosis y horario, tal como figuran en su registro de medicamentos.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Nivel de dependencia, cómo se comunica y si usa lentes, audífonos o prótesis.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Motivo de la derivación, qué pasó, desde cuándo y los últimos signos vitales.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resumen se usa solo para su atención de salud. Entrega solo la información necesaria, en sobre cerrado, y guarda la copia en su carpeta, con acceso restringido. Los datos de salud son sensibles: compartirlos con el centro que lo atiende está permitido porque es para su atención (Ley 21.719), y quienes los conocen deben mantener reserva (Decreto 20, art. 30). Si queda hospitalizado, registra las pertenencias que lleva.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Recepción al regreso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Recibe al residente junto con la epicrisis o informe de alta, las recetas, las órdenes de exámenes y las interconsultas.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Revisa las indicaciones nuevas. Cambia los medicamentos solo si hay receta o indicación médica escrita, y actualiza el registro de medicamentos. Si hay dudas, consulta al médico antes de aplicarlas.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Evalúa su estado: signos vitales, piel, conciencia, movilidad, alimentación y riesgo de caídas. Después de una hospitalización, vigila en especial la confusión y las lesiones por presión.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Actualiza la carpeta personal y el plan de cuidados, agenda los controles indicados y avisa a la familia.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Revisa que vuelvan sus pertenencias, lentes, audífonos y prótesis.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Registro de derivaciones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8"/>
        <w:gridCol w:w="1312"/>
        <w:gridCol w:w="1816"/>
        <w:gridCol w:w="1211"/>
        <w:gridCol w:w="1615"/>
        <w:gridCol w:w="1816"/>
        <w:gridCol w:w="1413"/>
      </w:tblGrid>
      <w:tr>
        <w:trPr>
          <w:trHeight w:val="340" w:hRule="atLeast"/>
          <w:tblHeader/>
        </w:trPr>
        <w:tc>
          <w:tcPr>
            <w:tcW w:type="dxa" w:w="9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31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Destino y motivo</w:t>
            </w:r>
          </w:p>
        </w:tc>
        <w:tc>
          <w:tcPr>
            <w:tcW w:type="dxa" w:w="12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Quién acompaña</w:t>
            </w:r>
          </w:p>
        </w:tc>
        <w:tc>
          <w:tcPr>
            <w:tcW w:type="dxa" w:w="16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Consentimiento y aviso a la familia</w:t>
            </w: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Indicaciones al regreso</w:t>
            </w:r>
          </w:p>
        </w:tc>
        <w:tc>
          <w:tcPr>
            <w:tcW w:type="dxa" w:w="14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9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traslado y derivación a la red de salud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MACA-CLI-08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traslado y derivación a la red de salud | MACA</dc:title>
  <dc:subject>Cómo se coordinan los controles, las horas médicas, los exámenes y los traslados de los residentes con la red de salud, y qué información viaja con ellos.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