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prevención y control de infecciones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Medidas de higiene, protección y vigilancia para evitar que las infecciones pasen de una persona a otra en la residencia, y qué hacer ante un brote. Normativa de referencia: Decreto 20 de 2021 del Ministerio de Salud, arts. 4 letra f), 8 letra g), 10 letras j), p), r), s) y t), 12 letras m), n) y s), 20, 21, 26, 29 letra e) y 30; Ley 21.719; buenas prácticas de prevención de infecciones.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MACA-CLI-04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Prevenir las infecciones en la residencia, detectarlas temprano y evitar que se propaguen. Las personas mayores se enferman con más facilidad y más gravedad, y en una residencia una infección pasa rápido de una persona a otra.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todo el personal, en todos los turnos, y en lo que corresponda a profesionales externos, voluntarios y visitas.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mantiene este protocolo, capacita al equipo, asegura los insumos (jabón, alcohol gel, elementos de protección), coordina la vacunación con el centro de salud y dirige la respuesta ante un brote.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 prevención de infecciones: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 (por ejemplo, el TENS con más experiencia). Revisa que se cumplan las medidas y lleva el registro de casos.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TENS y cuidadores(as):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aplican las medidas con cada residente y avisan cualquier síntoma en el mismo turno.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Personal de aseo y lavandería: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limpia y desinfecta según la rutina de la residencia y maneja la ropa y los residuos de forma segura.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Higiene de manos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Es la medida más importante. Lávate con </w:t>
      </w:r>
      <w:r>
        <w:rPr>
          <w:rFonts w:ascii="Arial" w:hAnsi="Arial" w:eastAsia="Arial"/>
          <w:b/>
          <w:i w:val="0"/>
          <w:color w:val="1B1537"/>
          <w:sz w:val="18"/>
        </w:rPr>
        <w:t>agua y jabón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(al menos 40 segundos) cuando tus manos estén visiblemente sucias, después de ir al baño y después de asistir a un residente con diarrea. En los demás casos puedes usar </w:t>
      </w:r>
      <w:r>
        <w:rPr>
          <w:rFonts w:ascii="Arial" w:hAnsi="Arial" w:eastAsia="Arial"/>
          <w:b/>
          <w:i w:val="0"/>
          <w:color w:val="1B1537"/>
          <w:sz w:val="18"/>
        </w:rPr>
        <w:t>alcohol gel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(20 a 30 segundos, hasta que se seque). Límpiate las manos siempre en estos momentos: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Antes de tocar a un residente.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Antes de una tarea limpia: preparar o dar medicamentos, alimentar, hacer una curación o manipular una sonda.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Después de tener contacto con sangre, orina, deposiciones, vómitos u otros fluidos, aunque hayas usado guantes.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Después de tocar a un residente.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Después de tocar sus cosas o su entorno: cama, velador, silla de ruedas.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Hazlo también al llegar y al salir del turno, antes de manipular alimentos y después de sacarte los guantes. Recomendamos uñas cortas y sin anillos ni pulseras durante el trabajo. Ayuda a los residentes a lavarse las manos antes de comer y después de ir al baño.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Precauciones estándar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Se aplican con </w:t>
      </w:r>
      <w:r>
        <w:rPr>
          <w:rFonts w:ascii="Arial" w:hAnsi="Arial" w:eastAsia="Arial"/>
          <w:b/>
          <w:i w:val="0"/>
          <w:color w:val="1B1537"/>
          <w:sz w:val="18"/>
        </w:rPr>
        <w:t>todos los residentes, siempre</w:t>
      </w:r>
      <w:r>
        <w:rPr>
          <w:rFonts w:ascii="Arial" w:hAnsi="Arial" w:eastAsia="Arial"/>
          <w:b w:val="0"/>
          <w:i w:val="0"/>
          <w:color w:val="1B1537"/>
          <w:sz w:val="18"/>
        </w:rPr>
        <w:t>, tengan o no una infección conocida: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Higiene de manos en los momentos indicados.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Guantes al tocar sangre, fluidos, mucosas o piel lesionada. Cámbialos entre un residente y otro, y entre una tarea sucia y una limpia.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Pechera desechable si te puedes manchar la ropa; mascarilla y antiparras si hay riesgo de salpicaduras.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Agujas y lancetas directo al contenedor rígido para cortopunzantes, sin volver a taparlas.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toser o estornudar, cúbrete con el antebrazo o un pañuelo desechable, y ayuda a los residentes a hacerlo.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Limpia y desinfecta el termómetro, el saturómetro, el glucómetro y el esfigmomanómetro después de usarlos con cada residente, y el carro del equipo móvil en forma periódica (arts. 4 f y 10 p).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Elementos de protección personal (EPP)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Ten siempre disponibles guantes de procedimiento, pecheras desechables, mascarillas y antiparras o escudo facial.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Para ponerlos: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higiene de manos, pechera, mascarilla, antiparras y, al final, los guantes.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Para sacarlos: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primero guantes y pechera, sin tocar el lado de afuera; higiene de manos; luego antiparras y mascarilla, tomándolas de los elásticos; y otra vez higiene de manos.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EPP desechables se usan una sola vez y se botan antes de salir de la habitación.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Los guantes </w:t>
      </w:r>
      <w:r>
        <w:rPr>
          <w:rFonts w:ascii="Arial" w:hAnsi="Arial" w:eastAsia="Arial"/>
          <w:b/>
          <w:i w:val="0"/>
          <w:color w:val="1B1537"/>
          <w:sz w:val="18"/>
        </w:rPr>
        <w:t>no reemplazan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la higiene de manos.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Ropa, residuos y limpieza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Retira la ropa sucia sin sacudirla y sin apoyarla en tu cuerpo ni en el piso. Llévala en bolsa o carro a la lavandería. La ropa con sangre, deposiciones o vómitos va en una bolsa aparte, identificada.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En la lavandería, la ropa sucia y la limpia no se cruzan (Decreto 20, art. 10 letra s).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basura va en contenedores con tapa y lavables, y se retira de donde se genera al menos una vez al día o al llegar a 3/4 de su capacidad (art. 10 letra t). Los pañales usados se cierran en bolsa.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contenedor de cortopunzantes se cierra al llegar a la marca de llenado y se entrega a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Lava las chatas en el lugar exclusivo para su lavado profundo (art. 10 r).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Limpia y desinfecta cada día lo que más se toca: barandas, timbres, manillas, mesas, veladores y baños, según la rutina de aseo y desinfección de la residencia (art. 8 g). Durante un brote, aumenta la frecuencia.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los productos de limpieza según su etiqueta y nunca mezcles cloro con otros productos.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Vacunación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Recomendamos que la dirección técnica coordine con el CESFAM o el centro de salud de cada residente las campañas de vacunación del Minsal: </w:t>
      </w:r>
      <w:r>
        <w:rPr>
          <w:rFonts w:ascii="Arial" w:hAnsi="Arial" w:eastAsia="Arial"/>
          <w:b/>
          <w:i w:val="0"/>
          <w:color w:val="1B1537"/>
          <w:sz w:val="18"/>
        </w:rPr>
        <w:t>influenza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cada año, y </w:t>
      </w:r>
      <w:r>
        <w:rPr>
          <w:rFonts w:ascii="Arial" w:hAnsi="Arial" w:eastAsia="Arial"/>
          <w:b/>
          <w:i w:val="0"/>
          <w:color w:val="1B1537"/>
          <w:sz w:val="18"/>
        </w:rPr>
        <w:t>neumococo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y </w:t>
      </w:r>
      <w:r>
        <w:rPr>
          <w:rFonts w:ascii="Arial" w:hAnsi="Arial" w:eastAsia="Arial"/>
          <w:b/>
          <w:i w:val="0"/>
          <w:color w:val="1B1537"/>
          <w:sz w:val="18"/>
        </w:rPr>
        <w:t>COVID-19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según el calendario vigente.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en la carpeta personal cada vacuna con su fecha.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el residente o su representante no acepta una vacuna, déjalo registrado y avisa a la dirección técnica.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que el personal también se vacune en las campañas que le correspondan.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Detección de brotes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Observa cada día y avisa en el mismo turno si un residente tiene fiebre, tos, dolor de garganta, dificultad para respirar, diarrea, vómitos, ojos rojos con secreción, lesiones en la piel con picazón o un decaimiento que no es habitual. En las personas mayores, la confusión o la falta de apetito pueden ser la primera señal de una infección.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Sospecha de brote: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dos o más casos con síntomas parecidos (por ejemplo, diarrea o síntomas respiratorios), relacionados en el tiempo y en el lugar, entre residentes o personal. Avisa de inmediato a la dirección técnica.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 una sospecha de brote: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Registra cada caso en la tabla del final: quién, desde cuándo, qué síntomas y dónde está.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Aísla a los afectados y refuerza la higiene de manos, la limpieza y el uso de EPP.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La dirección técnica coordina la evaluación médica con el centro de salud de la red (arts. 12 m y 26) y avisa a las familias o representantes (art. 12 n).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Avisa a la autoridad sanitaria (</w:t>
      </w:r>
      <w:r>
        <w:rPr>
          <w:rFonts w:ascii="Arial" w:hAnsi="Arial" w:eastAsia="Arial"/>
          <w:b/>
          <w:i w:val="0"/>
          <w:color w:val="1B1537"/>
          <w:sz w:val="18"/>
        </w:rPr>
        <w:t>SEREMI de Salud</w:t>
      </w:r>
      <w:r>
        <w:rPr>
          <w:rFonts w:ascii="Arial" w:hAnsi="Arial" w:eastAsia="Arial"/>
          <w:b w:val="0"/>
          <w:i w:val="0"/>
          <w:color w:val="1B1537"/>
          <w:sz w:val="18"/>
        </w:rPr>
        <w:t>) cuando corresponda, por ejemplo ante un brote de diarrea, de una enfermedad respiratoria o si se sospecha de los alimentos. Ante la duda, consulta con la SEREMI de Salud o con el centro de salud.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Cumple los protocolos que dicte el Ministerio de Salud y los de la residencia: el Decreto 20 exige acatarlos ante emergencias sanitarias o brotes de causa infecciosa (art. 10 letra j).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6.</w:t>
        <w:tab/>
        <w:t>Si se sospecha de los alimentos, recomendamos guardar lo que quede de las comidas sospechosas, rotulado y refrigerado, por si la autoridad pide analizarlo.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7.</w:t>
        <w:tab/>
        <w:t>Da por cerrado el brote cuando lo indique la autoridad sanitaria o el médico, o tras ________ días sin casos nuevos.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Aislamiento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Deja al residente en una habitación individual, con baño propio si es posible. Si no hay, agrupa a los residentes con la misma infección.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Pon un aviso en la puerta con las medidas que se deben usar, sin datos del diagnóstico.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equipos exclusivos para ese residente (termómetro, saturómetro, chata) o desinféctalos después de cada uso.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Diarrea, sarna o heridas infectadas: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guantes y pechera para todo contacto. Con diarrea, lávate con agua y jabón: el alcohol gel no basta.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Infecciones respiratorias: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mascarilla para el personal y, si la tolera, para el residente cuando sale de la habitación o recibe atención.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es posible, asigna siempre al mismo personal para atender a los residentes aislados.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aislamiento dura lo que indique el médico o la autoridad sanitaria. Mientras dura, mantén el contacto del residente con su familia (por ejemplo, por videollamada) y acompáñalo: aislar no es dejar solo.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El personal con fiebre, diarrea, vómitos o síntomas respiratorios avisa antes de su turno. Recomendamos que no atienda residentes hasta ser evaluado. A las visitas con síntomas se les pide postergar la visita.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11. Registro de casos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67"/>
        <w:gridCol w:w="1553"/>
        <w:gridCol w:w="1067"/>
        <w:gridCol w:w="1553"/>
        <w:gridCol w:w="1650"/>
        <w:gridCol w:w="1747"/>
        <w:gridCol w:w="1455"/>
      </w:tblGrid>
      <w:tr>
        <w:trPr>
          <w:trHeight w:val="340" w:hRule="atLeast"/>
          <w:tblHeader/>
        </w:trPr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Inicio de síntomas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 o trabajador</w:t>
            </w:r>
          </w:p>
        </w:tc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Habitación o sector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Síntomas</w:t>
            </w:r>
          </w:p>
        </w:tc>
        <w:tc>
          <w:tcPr>
            <w:tcW w:type="dxa" w:w="165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Medidas (aislamiento, derivación)</w:t>
            </w:r>
          </w:p>
        </w:tc>
        <w:tc>
          <w:tcPr>
            <w:tcW w:type="dxa" w:w="17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Avisos (familia, centro de salud, SEREMI)</w:t>
            </w:r>
          </w:p>
        </w:tc>
        <w:tc>
          <w:tcPr>
            <w:tcW w:type="dxa" w:w="1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Evolución y fecha de término</w:t>
            </w:r>
          </w:p>
        </w:tc>
      </w:tr>
      <w:tr>
        <w:trPr>
          <w:trHeight w:val="369" w:hRule="atLeast"/>
        </w:trPr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5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5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5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5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6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5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4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5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Este registro contiene datos de salud de residentes y trabajadores, que son datos sensibles: guárdalo con acceso restringido y compártelo solo con el centro de salud o la autoridad sanitaria cuando corresponda (arts. 29 e y 30; Ley 21.719).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prevención y control de infecciones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MACA-CLI-04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prevención y control de infecciones | MACA</dc:title>
  <dc:subject>Medidas de higiene, protección y vigilancia para evitar que las infecciones pasen de una persona a otra en la residencia, y qué hacer ante un brote.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