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prevención del acoso sexual, laboral y la violencia en el trabajo (Ley Karin)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prevenir, recibir, investigar y sancionar el acoso y la violencia en el trabajo en la residencia, incluida la que ejercen residentes, familias o visitas. Normativa de referencia: Ley 21.643 (Ley Karin), que modifica el Código del Trabajo (arts. 2 y 211-A y siguientes); Ley 16.744.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MACA-PER-06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 y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Prevenir el acoso sexual, el acoso laboral y la violencia en el trabajo en ________ (nombre de la residencia), y definir cómo se reciben, investigan y sancionan las denuncias. Desde el 1 de agosto de 2024, todo empleador debe tener un protocolo de prevención, sin importar cuántos trabajadores tenga.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 (dirección, técnicos de enfermería, cuidadores, cocina, aseo y administración), a practicantes y a quienes presten servicios en la residencia. También cubre la violencia que ejercen personas ajenas a la relación laboral: residentes, familiares, visitas y proveedores.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Modelo referencial: revísalo con un abogado antes de usarlo, y también con tu mutualidad u organismo administrador de la Ley 16.744. Si tu residencia tiene reglamento interno de orden, higiene y seguridad (obligatorio desde 10 trabajadores), incorpora en él el procedimiento de investigación y sanción.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Qué entendemos por acoso y violencia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Acoso sexual: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pedir o insinuar algo de carácter sexual que la otra persona no consiente y que amenaza o perjudica su trabajo o sus oportunidades.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Acoso laboral: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agredir, hostigar, humillar o menoscabar a un trabajador, por cualquier medio, ya sea una sola vez o de forma reiterada. Puede venir de una jefatura, de un compañero o de un subordinado.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Violencia en el trabajo: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agresiones, amenazas o insultos que sufre un trabajador por parte de terceros mientras trabaja, como un familiar que grita o amenaza, o una visita que agrede.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agresiones de un residente con deterioro cognitivo o agitación se abordan primero como un problema de salud (ver el protocolo de agitación psicomotora), pero igual se registran y se protege al trabajador.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Principios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Tolerancia cero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 el acoso y la violencia, venga de quien venga.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Reserva: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información de cada denuncia la conocen solo quienes deben conocerla.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Imparcialidad y rapidez: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 escucha a ambas partes y se actúa en los plazos de la ley.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Perspectiva de género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</w:t>
      </w:r>
      <w:r>
        <w:rPr>
          <w:rFonts w:ascii="Arial" w:hAnsi="Arial" w:eastAsia="Arial"/>
          <w:b/>
          <w:i w:val="0"/>
          <w:color w:val="1B1537"/>
          <w:sz w:val="18"/>
        </w:rPr>
        <w:t>no revictimización: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 quien denuncia no se le pide repetir su relato más veces de lo necesario.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Sin represalias: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nadie puede ser perjudicado por denunciar o declarar de buena fe.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Riesgos de la residencia y medidas de prevención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Código del Trabajo pide que el protocolo incluya, a lo menos, la identificación de los peligros y la evaluación de los riesgos psicosociales, con perspectiva de género; medidas para prevenir y controlar esos riesgos, con objetivos medibles; medidas para informar y capacitar al equipo; y el resguardo de la privacidad y la honra de quienes participan en una investigación (art. 211-A). Revisa con el equipo dónde y cuándo pueden ocurrir estas situaciones y ajusta la tabla a tu residencia: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91"/>
        <w:gridCol w:w="3818"/>
        <w:gridCol w:w="2182"/>
        <w:gridCol w:w="1500"/>
      </w:tblGrid>
      <w:tr>
        <w:trPr>
          <w:trHeight w:val="340" w:hRule="atLeast"/>
          <w:tblHeader/>
        </w:trPr>
        <w:tc>
          <w:tcPr>
            <w:tcW w:type="dxa" w:w="25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Situación de riesgo</w:t>
            </w:r>
          </w:p>
        </w:tc>
        <w:tc>
          <w:tcPr>
            <w:tcW w:type="dxa" w:w="38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Medida de prevención</w:t>
            </w:r>
          </w:p>
        </w:tc>
        <w:tc>
          <w:tcPr>
            <w:tcW w:type="dxa" w:w="21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Meta medible</w:t>
            </w:r>
          </w:p>
        </w:tc>
        <w:tc>
          <w:tcPr>
            <w:tcW w:type="dxa" w:w="15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25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Turno de noche con poco personal</w:t>
            </w:r>
          </w:p>
        </w:tc>
        <w:tc>
          <w:tcPr>
            <w:tcW w:type="dxa" w:w="38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Dotación mínima del Decreto 20, teléfono de contacto con la dirección, rondas acompañadas cuando haya riesgo</w:t>
            </w:r>
          </w:p>
        </w:tc>
        <w:tc>
          <w:tcPr>
            <w:tcW w:type="dxa" w:w="21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Ningún turno bajo la dotación mínima</w:t>
            </w:r>
          </w:p>
        </w:tc>
        <w:tc>
          <w:tcPr>
            <w:tcW w:type="dxa" w:w="15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 con agitación o deterioro cognitivo</w:t>
            </w:r>
          </w:p>
        </w:tc>
        <w:tc>
          <w:tcPr>
            <w:tcW w:type="dxa" w:w="38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 de cuidado individual, trabajo en pareja en cuidados de riesgo, capacitación en manejo de conducta</w:t>
            </w:r>
          </w:p>
        </w:tc>
        <w:tc>
          <w:tcPr>
            <w:tcW w:type="dxa" w:w="21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Todo el equipo capacitado antes de ________</w:t>
            </w:r>
          </w:p>
        </w:tc>
        <w:tc>
          <w:tcPr>
            <w:tcW w:type="dxa" w:w="15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Familias en conflicto o con reclamos frecuentes</w:t>
            </w:r>
          </w:p>
        </w:tc>
        <w:tc>
          <w:tcPr>
            <w:tcW w:type="dxa" w:w="38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Canal formal de reclamos, reuniones con la dirección, límites claros de trato</w:t>
            </w:r>
          </w:p>
        </w:tc>
        <w:tc>
          <w:tcPr>
            <w:tcW w:type="dxa" w:w="21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Reclamos respondidos en ________ días</w:t>
            </w:r>
          </w:p>
        </w:tc>
        <w:tc>
          <w:tcPr>
            <w:tcW w:type="dxa" w:w="15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Cuidados íntimos a solas en la habitación</w:t>
            </w:r>
          </w:p>
        </w:tc>
        <w:tc>
          <w:tcPr>
            <w:tcW w:type="dxa" w:w="38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Pautas de trato respetuoso, puerta entornada cuando sea posible, apoyo de un segundo cuidador</w:t>
            </w:r>
          </w:p>
        </w:tc>
        <w:tc>
          <w:tcPr>
            <w:tcW w:type="dxa" w:w="21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</w:t>
            </w:r>
          </w:p>
        </w:tc>
        <w:tc>
          <w:tcPr>
            <w:tcW w:type="dxa" w:w="15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Jefaturas con alta carga o poca preparación</w:t>
            </w:r>
          </w:p>
        </w:tc>
        <w:tc>
          <w:tcPr>
            <w:tcW w:type="dxa" w:w="38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Capacitación en liderazgo y en recepción de denuncias</w:t>
            </w:r>
          </w:p>
        </w:tc>
        <w:tc>
          <w:tcPr>
            <w:tcW w:type="dxa" w:w="21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Jefaturas capacitadas antes de ________</w:t>
            </w:r>
          </w:p>
        </w:tc>
        <w:tc>
          <w:tcPr>
            <w:tcW w:type="dxa" w:w="15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8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5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8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Entrega este protocolo a cada persona al ingresar y a todo el equipo actual, con firma de recepción.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Informa </w:t>
      </w:r>
      <w:r>
        <w:rPr>
          <w:rFonts w:ascii="Arial" w:hAnsi="Arial" w:eastAsia="Arial"/>
          <w:b/>
          <w:i w:val="0"/>
          <w:color w:val="1B1537"/>
          <w:sz w:val="18"/>
        </w:rPr>
        <w:t>cada seis meses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los canales de denuncia y las instancias públicas para denunciar (registro en la sección 9).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Incluye la prevención del acoso y la violencia en el plan de capacitación anual.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Evalúa los riesgos psicosociales con tu organismo administrador. Con 10 o más trabajadores, el protocolo de vigilancia de riesgos psicosociales del Minsal pide hacerlo con el cuestionario CEAL-SM/SUSESO.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Revisa este protocolo al menos una vez al año, o después de cada caso, para mejorar las medidas.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Cómo denunciar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Quien sufra o presencie acoso o violencia puede denunciar por escrito o en forma verbal. Si es verbal, quien la recibe la deja por escrito y la persona la firma. También se puede denunciar directamente ante la </w:t>
      </w:r>
      <w:r>
        <w:rPr>
          <w:rFonts w:ascii="Arial" w:hAnsi="Arial" w:eastAsia="Arial"/>
          <w:b/>
          <w:i w:val="0"/>
          <w:color w:val="1B1537"/>
          <w:sz w:val="18"/>
        </w:rPr>
        <w:t>Inspección del Trabajo</w:t>
      </w:r>
      <w:r>
        <w:rPr>
          <w:rFonts w:ascii="Arial" w:hAnsi="Arial" w:eastAsia="Arial"/>
          <w:b w:val="0"/>
          <w:i w:val="0"/>
          <w:color w:val="1B1537"/>
          <w:sz w:val="18"/>
        </w:rPr>
        <w:t>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80"/>
        <w:gridCol w:w="3211"/>
      </w:tblGrid>
      <w:tr>
        <w:trPr>
          <w:trHeight w:val="624" w:hRule="atLeast"/>
        </w:trPr>
        <w:tc>
          <w:tcPr>
            <w:tcW w:type="dxa" w:w="6880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RECIBE LAS DENUNCIAS (NOMBRE Y CARGO)</w:t>
            </w:r>
          </w:p>
        </w:tc>
        <w:tc>
          <w:tcPr>
            <w:tcW w:type="dxa" w:w="321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TELÉFONO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04"/>
        <w:gridCol w:w="4587"/>
      </w:tblGrid>
      <w:tr>
        <w:trPr>
          <w:trHeight w:val="624" w:hRule="atLeast"/>
        </w:trPr>
        <w:tc>
          <w:tcPr>
            <w:tcW w:type="dxa" w:w="550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CORREO ELECTRÓNICO</w:t>
            </w:r>
          </w:p>
        </w:tc>
        <w:tc>
          <w:tcPr>
            <w:tcW w:type="dxa" w:w="4587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LUGAR O BUZÓN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REEMPLAZANTE (SI LA DENUNCIA INVOLUCRA A QUIEN RECIBE)</w:t>
            </w:r>
          </w:p>
        </w:tc>
      </w:tr>
    </w:tbl>
    <w:p>
      <w:pPr>
        <w:spacing w:after="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Qué pasa después de una denuncia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Se recibe y registra la denuncia, y se entrega copia a quien denuncia. Se le informa sobre la atención psicológica temprana de la mutualidad u organismo administrador de la Ley 16.744.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 xml:space="preserve">Se adoptan de inmediato </w:t>
      </w:r>
      <w:r>
        <w:rPr>
          <w:rFonts w:ascii="Arial" w:hAnsi="Arial" w:eastAsia="Arial"/>
          <w:b/>
          <w:i w:val="0"/>
          <w:color w:val="1B1537"/>
          <w:sz w:val="18"/>
        </w:rPr>
        <w:t>medidas de resguardo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según la gravedad y las posibilidades de la residencia: separar espacios, cambiar turnos o funciones, o redistribuir la jornada.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 xml:space="preserve">Dentro de </w:t>
      </w:r>
      <w:r>
        <w:rPr>
          <w:rFonts w:ascii="Arial" w:hAnsi="Arial" w:eastAsia="Arial"/>
          <w:b/>
          <w:i w:val="0"/>
          <w:color w:val="1B1537"/>
          <w:sz w:val="18"/>
        </w:rPr>
        <w:t>3 días hábiles</w:t>
      </w:r>
      <w:r>
        <w:rPr>
          <w:rFonts w:ascii="Arial" w:hAnsi="Arial" w:eastAsia="Arial"/>
          <w:b w:val="0"/>
          <w:i w:val="0"/>
          <w:color w:val="1B1537"/>
          <w:sz w:val="18"/>
        </w:rPr>
        <w:t>, la residencia inicia la investigación interna o remite la denuncia a la Inspección del Trabajo. Si investiga, informa el inicio a la Dirección del Trabajo en su sitio web.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 xml:space="preserve">Si investiga internamente, lo hace por escrito, con reserva, de forma imparcial y con perspectiva de género, escuchando a ambas partes y sus pruebas. La investigación debe terminar en un </w:t>
      </w:r>
      <w:r>
        <w:rPr>
          <w:rFonts w:ascii="Arial" w:hAnsi="Arial" w:eastAsia="Arial"/>
          <w:b/>
          <w:i w:val="0"/>
          <w:color w:val="1B1537"/>
          <w:sz w:val="18"/>
        </w:rPr>
        <w:t>plazo máximo de 30 días</w:t>
      </w:r>
      <w:r>
        <w:rPr>
          <w:rFonts w:ascii="Arial" w:hAnsi="Arial" w:eastAsia="Arial"/>
          <w:b w:val="0"/>
          <w:i w:val="0"/>
          <w:color w:val="1B1537"/>
          <w:sz w:val="18"/>
        </w:rPr>
        <w:t>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 xml:space="preserve">Las conclusiones se envían a la Inspección del Trabajo, que tiene </w:t>
      </w:r>
      <w:r>
        <w:rPr>
          <w:rFonts w:ascii="Arial" w:hAnsi="Arial" w:eastAsia="Arial"/>
          <w:b/>
          <w:i w:val="0"/>
          <w:color w:val="1B1537"/>
          <w:sz w:val="18"/>
        </w:rPr>
        <w:t>30 días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para pronunciarse.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 xml:space="preserve">Recibido el pronunciamiento de la Inspección, la residencia aplica las medidas o sanciones que correspondan dentro de los </w:t>
      </w:r>
      <w:r>
        <w:rPr>
          <w:rFonts w:ascii="Arial" w:hAnsi="Arial" w:eastAsia="Arial"/>
          <w:b/>
          <w:i w:val="0"/>
          <w:color w:val="1B1537"/>
          <w:sz w:val="18"/>
        </w:rPr>
        <w:t>15 días hábiles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siguientes y las comunica a las partes.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Si los hechos pueden ser un delito (agresión física, abuso sexual, amenazas graves), además se denuncia a Carabineros (133), a la PDI o a la Fiscalía.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Cuando la violencia viene de residentes, familias o visitas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Residente con agitación: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protege al trabajador, aplica el protocolo de agitación psicomotora, avisa al médico y revisa el plan de cuidado. Registra el hecho y ofrece apoyo al trabajador.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Familiar o visita: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dirección conversa con la persona, le recuerda las reglas de trato del reglamento interno y deja registro. Ante amenazas o agresiones, puede restringir las visitas de esa persona como medida excepcional, informándolo por escrito y sin afectar el derecho del residente a ser visitado por otros.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Proveedor: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 informa a su empresa y se pide el cambio de la persona si corresponde.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Registro confidencial de denuncias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 lleva la dirección y se guarda bajo llave. No anotes detalles del relato: van en la carpeta reservada de cada caso. Los datos de quienes denuncian, son denunciados o declaran se usan solo para tramitar la denuncia y se guardan con acceso restringido (Ley 21.719).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01"/>
        <w:gridCol w:w="1201"/>
        <w:gridCol w:w="2162"/>
        <w:gridCol w:w="2162"/>
        <w:gridCol w:w="1922"/>
        <w:gridCol w:w="2042"/>
      </w:tblGrid>
      <w:tr>
        <w:trPr>
          <w:trHeight w:val="340" w:hRule="atLeast"/>
          <w:tblHeader/>
        </w:trPr>
        <w:tc>
          <w:tcPr>
            <w:tcW w:type="dxa" w:w="6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N°</w:t>
            </w:r>
          </w:p>
        </w:tc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 (acoso sexual, laboral, violencia)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Medidas de resguardo</w:t>
            </w: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Investiga (residencia o Inspección)</w:t>
            </w:r>
          </w:p>
        </w:tc>
        <w:tc>
          <w:tcPr>
            <w:tcW w:type="dxa" w:w="20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Cierre y medidas</w:t>
            </w:r>
          </w:p>
        </w:tc>
      </w:tr>
      <w:tr>
        <w:trPr>
          <w:trHeight w:val="369" w:hRule="atLeast"/>
        </w:trPr>
        <w:tc>
          <w:tcPr>
            <w:tcW w:type="dxa" w:w="6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Entrega del protocolo e información semestral de los canales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64"/>
        <w:gridCol w:w="3273"/>
        <w:gridCol w:w="3546"/>
        <w:gridCol w:w="1909"/>
      </w:tblGrid>
      <w:tr>
        <w:trPr>
          <w:trHeight w:val="340" w:hRule="atLeast"/>
          <w:tblHeader/>
        </w:trPr>
        <w:tc>
          <w:tcPr>
            <w:tcW w:type="dxa" w:w="1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del trabajador</w:t>
            </w:r>
          </w:p>
        </w:tc>
        <w:tc>
          <w:tcPr>
            <w:tcW w:type="dxa" w:w="35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se entregó (protocolo o información semestral)</w:t>
            </w:r>
          </w:p>
        </w:tc>
        <w:tc>
          <w:tcPr>
            <w:tcW w:type="dxa" w:w="19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</w:tr>
      <w:tr>
        <w:trPr>
          <w:trHeight w:val="369" w:hRule="atLeast"/>
        </w:trPr>
        <w:tc>
          <w:tcPr>
            <w:tcW w:type="dxa" w:w="1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5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5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5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5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5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5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5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5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prevención del acoso sexual, laboral y la violencia en el trabajo (Ley Karin)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MACA-PER-06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prevención del acoso sexual, laboral y la violencia en el trabajo (Ley Karin) | MACA</dc:title>
  <dc:subject>Cómo prevenir, recibir, investigar y sancionar el acoso y la violencia en el trabajo en la residencia, incluida la que ejercen residentes, familias o visitas.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