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comunicación con la familia y persona significativa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Quién recibe información, por qué canales y cada cuánto, y cómo comunicar situaciones difíciles respetando la voluntad del residente. Normativa de referencia: Decreto 20 de 2021 del Ministerio de Salud, artículos 4 letra j), 12 letras j), k) y n), 28 letra e), 29 letras b) y e) y 30; Ley 20.584; Ley 21.719.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MACA-ADM-03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Mantener una comunicación clara, oportuna y respetuosa con la familia y la persona significativa de cada residente, sin pasar por encima de su voluntad ni de la reserva de sus datos de salud.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 el personal que entrega información o recibe consultas de familiares, personas significativas o representantes legales, por cualquier canal: en persona, por teléfono, por correo, por mensajería o por plataformas digitales.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define con el residente quién es su contacto principal, entrega la información de salud o designa a quien la entrega, y coordina con la familia cuando se complica la salud del residente (art. 12 k y n).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Encargado(a) del turno: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da los avisos inmediatos del punto 6 y registra cada llamado.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Personal de trato directo: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no entrega información de salud por su cuenta; deriva las consultas y anota lo que la familia informa.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Dirección administrativa: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responde sobre pagos, contrato y documentos.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Contacto principal y personas autorizadas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persona significativa es quien mantiene con el residente una relación de apoyo y contención, sea o no un familiar (art. 4 j). El contrato debe incluir una o más personas de contacto en caso de emergencia, con teléfono, correo y domicilio (art. 28 e). Al ingreso, define junto al residente: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Contacto principal: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persona a quien se llama primero y que coordina con el resto de la familia.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Personas autorizadas para recibir información de salud: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las que el residente elige. Si no puede decidir, las define su representante legal.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Personas que el residente no quiere que reciban información</w:t>
      </w:r>
      <w:r>
        <w:rPr>
          <w:rFonts w:ascii="Arial" w:hAnsi="Arial" w:eastAsia="Arial"/>
          <w:b w:val="0"/>
          <w:i w:val="0"/>
          <w:color w:val="1B1537"/>
          <w:sz w:val="18"/>
        </w:rPr>
        <w:t>, si las hay.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432"/>
        <w:gridCol w:w="1702"/>
        <w:gridCol w:w="2188"/>
        <w:gridCol w:w="1337"/>
        <w:gridCol w:w="2432"/>
      </w:tblGrid>
      <w:tr>
        <w:trPr>
          <w:trHeight w:val="340" w:hRule="atLeast"/>
          <w:tblHeader/>
        </w:trPr>
        <w:tc>
          <w:tcPr>
            <w:tcW w:type="dxa" w:w="24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</w:t>
            </w:r>
          </w:p>
        </w:tc>
        <w:tc>
          <w:tcPr>
            <w:tcW w:type="dxa" w:w="17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Relación con el residente</w:t>
            </w:r>
          </w:p>
        </w:tc>
        <w:tc>
          <w:tcPr>
            <w:tcW w:type="dxa" w:w="21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Teléfono y correo</w:t>
            </w: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Contacto principal (sí / no)</w:t>
            </w:r>
          </w:p>
        </w:tc>
        <w:tc>
          <w:tcPr>
            <w:tcW w:type="dxa" w:w="24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Qué información puede recibir</w:t>
            </w:r>
          </w:p>
        </w:tc>
      </w:tr>
      <w:tr>
        <w:trPr>
          <w:trHeight w:val="369" w:hRule="atLeast"/>
        </w:trPr>
        <w:tc>
          <w:tcPr>
            <w:tcW w:type="dxa" w:w="24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4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4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3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rHeight w:val="794" w:hRule="atLeast"/>
        </w:trPr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340" w:hRule="atLeast"/>
        </w:trPr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Residente o representante legal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Fecha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Fecha de la próxima revisión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Qué información se puede dar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El residente decide.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Pregúntale qué quiere que se cuente y a quién. Si tiene deterioro cognitivo, igual considera su opinión en lo que pueda decidir.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Los datos de salud son reservados.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información de la ficha clínica solo la conocen el titular, su representante y las personas que la ley autoriza (Ley 20.584). Los datos de salud son datos sensibles: se comparten con consentimiento expreso o cuando la ley lo permite, como en una urgencia (Ley 21.719, que entra en vigencia el 1 de diciembre de 2026).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Lenguaje comprensible.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El director(a) técnico(a) debe facilitar información sobre el estado de salud del residente cuando él, su representante, un familiar o la persona significativa la soliciten, en un lenguaje comprensible para quien la recibe (art. 12 k). Hazlo dentro de lo que el residente autorizó.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Confirma la identidad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antes de dar información por teléfono: nombre, relación con el residente y ________ (por ejemplo, una clave acordada al ingreso).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Información general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(cómo pasó el día, si comió bien, si participó en actividades) puede darla el encargado(a) del turno a las personas autorizadas.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Acceso a la carpeta.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dirección técnica define cómo el residente y su representante legal acceden al contenido de su carpeta personal (art. 12 letra j). Fuera de ellos, solo acceden las personas que autoriza la ley (art. 29 letra e).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Todo el personal que conoce datos sensibles de un residente debe guardar reserva (art. 30).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Canales y frecuencia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Decreto 20 pide al director(a) técnico(a) asegurar la coordinación con la familia o persona significativa cuando se complica la salud del residente: episodios agudos, descompensaciones, caídas, heridas o agresiones, entre otras (art. 12 n). Recomendamos esta pauta: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44"/>
        <w:gridCol w:w="2523"/>
        <w:gridCol w:w="2102"/>
        <w:gridCol w:w="1822"/>
      </w:tblGrid>
      <w:tr>
        <w:trPr>
          <w:trHeight w:val="340" w:hRule="atLeast"/>
          <w:tblHeader/>
        </w:trPr>
        <w:tc>
          <w:tcPr>
            <w:tcW w:type="dxa" w:w="36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Qué se comunica</w:t>
            </w:r>
          </w:p>
        </w:tc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Cuándo</w:t>
            </w:r>
          </w:p>
        </w:tc>
        <w:tc>
          <w:tcPr>
            <w:tcW w:type="dxa" w:w="2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Quién</w:t>
            </w:r>
          </w:p>
        </w:tc>
        <w:tc>
          <w:tcPr>
            <w:tcW w:type="dxa" w:w="1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Canal</w:t>
            </w:r>
          </w:p>
        </w:tc>
      </w:tr>
      <w:tr>
        <w:trPr>
          <w:trHeight w:val="369" w:hRule="atLeast"/>
        </w:trPr>
        <w:tc>
          <w:tcPr>
            <w:tcW w:type="dxa" w:w="36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Urgencia, traslado u hospitalización</w:t>
            </w:r>
          </w:p>
        </w:tc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 inmediato</w:t>
            </w:r>
          </w:p>
        </w:tc>
        <w:tc>
          <w:tcPr>
            <w:tcW w:type="dxa" w:w="2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Encargado(a) del turno</w:t>
            </w:r>
          </w:p>
        </w:tc>
        <w:tc>
          <w:tcPr>
            <w:tcW w:type="dxa" w:w="1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Llamada</w:t>
            </w:r>
          </w:p>
        </w:tc>
      </w:tr>
      <w:tr>
        <w:trPr>
          <w:trHeight w:val="369" w:hRule="atLeast"/>
        </w:trPr>
        <w:tc>
          <w:tcPr>
            <w:tcW w:type="dxa" w:w="36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Caídas, heridas, agresiones o cambios importantes de salud</w:t>
            </w:r>
          </w:p>
        </w:tc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En el mismo turno</w:t>
            </w:r>
          </w:p>
        </w:tc>
        <w:tc>
          <w:tcPr>
            <w:tcW w:type="dxa" w:w="2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Encargado(a) del turno</w:t>
            </w:r>
          </w:p>
        </w:tc>
        <w:tc>
          <w:tcPr>
            <w:tcW w:type="dxa" w:w="1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Llamada</w:t>
            </w:r>
          </w:p>
        </w:tc>
      </w:tr>
      <w:tr>
        <w:trPr>
          <w:trHeight w:val="369" w:hRule="atLeast"/>
        </w:trPr>
        <w:tc>
          <w:tcPr>
            <w:tcW w:type="dxa" w:w="36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Cambios de medicamentos o de indicaciones</w:t>
            </w:r>
          </w:p>
        </w:tc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Dentro de ________</w:t>
            </w:r>
          </w:p>
        </w:tc>
        <w:tc>
          <w:tcPr>
            <w:tcW w:type="dxa" w:w="2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Técnico(a) de enfermería</w:t>
            </w:r>
          </w:p>
        </w:tc>
        <w:tc>
          <w:tcPr>
            <w:tcW w:type="dxa" w:w="1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</w:t>
            </w:r>
          </w:p>
        </w:tc>
      </w:tr>
      <w:tr>
        <w:trPr>
          <w:trHeight w:val="369" w:hRule="atLeast"/>
        </w:trPr>
        <w:tc>
          <w:tcPr>
            <w:tcW w:type="dxa" w:w="36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Informe periódico: estado general, actividades y novedades</w:t>
            </w:r>
          </w:p>
        </w:tc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Cada ________ (recomendamos al menos una vez al mes)</w:t>
            </w:r>
          </w:p>
        </w:tc>
        <w:tc>
          <w:tcPr>
            <w:tcW w:type="dxa" w:w="2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Director(a) técnico(a)</w:t>
            </w:r>
          </w:p>
        </w:tc>
        <w:tc>
          <w:tcPr>
            <w:tcW w:type="dxa" w:w="1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</w:t>
            </w:r>
          </w:p>
        </w:tc>
      </w:tr>
      <w:tr>
        <w:trPr>
          <w:trHeight w:val="369" w:hRule="atLeast"/>
        </w:trPr>
        <w:tc>
          <w:tcPr>
            <w:tcW w:type="dxa" w:w="36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Reunión con la familia</w:t>
            </w:r>
          </w:p>
        </w:tc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Al ingreso, al actualizar el plan de atención y al menos una vez al año</w:t>
            </w:r>
          </w:p>
        </w:tc>
        <w:tc>
          <w:tcPr>
            <w:tcW w:type="dxa" w:w="2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Director(a) técnico(a) y equipo</w:t>
            </w:r>
          </w:p>
        </w:tc>
        <w:tc>
          <w:tcPr>
            <w:tcW w:type="dxa" w:w="1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Presencial o videollamada</w:t>
            </w:r>
          </w:p>
        </w:tc>
      </w:tr>
      <w:tr>
        <w:trPr>
          <w:trHeight w:val="369" w:hRule="atLeast"/>
        </w:trPr>
        <w:tc>
          <w:tcPr>
            <w:tcW w:type="dxa" w:w="36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Pagos, contrato y documentos</w:t>
            </w:r>
          </w:p>
        </w:tc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Cuando se requiera</w:t>
            </w:r>
          </w:p>
        </w:tc>
        <w:tc>
          <w:tcPr>
            <w:tcW w:type="dxa" w:w="2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Dirección administrativa</w:t>
            </w:r>
          </w:p>
        </w:tc>
        <w:tc>
          <w:tcPr>
            <w:tcW w:type="dxa" w:w="18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Correo o presencial</w:t>
            </w:r>
          </w:p>
        </w:tc>
      </w:tr>
    </w:tbl>
    <w:p>
      <w:pPr>
        <w:spacing w:after="40"/>
      </w:pP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Usa los canales que la residencia definió: ________. Evita enviar diagnósticos, fotos o documentos de salud por grupos de mensajería.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la residencia usa MACA, su reportería familiar puede apoyar el informe periódico. Revisa que llegue solo a los contactos autorizados.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no logras comunicarte, insiste con el siguiente contacto de la lista y anota cada intento.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Cómo comunicar una mala noticia o una situación delicada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Sigue estos pasos, por ejemplo ante un deterioro de salud, una hospitalización o un incidente: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</w:r>
      <w:r>
        <w:rPr>
          <w:rFonts w:ascii="Arial" w:hAnsi="Arial" w:eastAsia="Arial"/>
          <w:b/>
          <w:i w:val="0"/>
          <w:color w:val="1B1537"/>
          <w:sz w:val="18"/>
        </w:rPr>
        <w:t>Prepárate.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Verifica los hechos, revisa la carpeta y define quién comunica: de preferencia el director(a) técnico(a) o el profesional que conoce el caso.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</w:r>
      <w:r>
        <w:rPr>
          <w:rFonts w:ascii="Arial" w:hAnsi="Arial" w:eastAsia="Arial"/>
          <w:b/>
          <w:i w:val="0"/>
          <w:color w:val="1B1537"/>
          <w:sz w:val="18"/>
        </w:rPr>
        <w:t>Elige el momento y el lugar.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Si es posible, conversa en persona y en un espacio privado. Por teléfono, pregunta si la persona puede hablar tranquila. No des malas noticias por mensaje de texto.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</w:r>
      <w:r>
        <w:rPr>
          <w:rFonts w:ascii="Arial" w:hAnsi="Arial" w:eastAsia="Arial"/>
          <w:b/>
          <w:i w:val="0"/>
          <w:color w:val="1B1537"/>
          <w:sz w:val="18"/>
        </w:rPr>
        <w:t>Anticipa.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Avisa que tienes una noticia difícil antes de darla.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</w:r>
      <w:r>
        <w:rPr>
          <w:rFonts w:ascii="Arial" w:hAnsi="Arial" w:eastAsia="Arial"/>
          <w:b/>
          <w:i w:val="0"/>
          <w:color w:val="1B1537"/>
          <w:sz w:val="18"/>
        </w:rPr>
        <w:t>Di lo que pasó con claridad</w:t>
      </w:r>
      <w:r>
        <w:rPr>
          <w:rFonts w:ascii="Arial" w:hAnsi="Arial" w:eastAsia="Arial"/>
          <w:b w:val="0"/>
          <w:i w:val="0"/>
          <w:color w:val="1B1537"/>
          <w:sz w:val="18"/>
        </w:rPr>
        <w:t>, en frases cortas y sin términos técnicos. No minimices ni des detalles que no conoces.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</w:r>
      <w:r>
        <w:rPr>
          <w:rFonts w:ascii="Arial" w:hAnsi="Arial" w:eastAsia="Arial"/>
          <w:b/>
          <w:i w:val="0"/>
          <w:color w:val="1B1537"/>
          <w:sz w:val="18"/>
        </w:rPr>
        <w:t>Haz pausas y escucha.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Deja espacio para las emociones y las preguntas. Si no sabes algo, dilo y comprométete a averiguarlo.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</w:r>
      <w:r>
        <w:rPr>
          <w:rFonts w:ascii="Arial" w:hAnsi="Arial" w:eastAsia="Arial"/>
          <w:b/>
          <w:i w:val="0"/>
          <w:color w:val="1B1537"/>
          <w:sz w:val="18"/>
        </w:rPr>
        <w:t>Explica los pasos siguientes: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qué hará la residencia, qué se espera de la familia y cuándo volverás a comunicarte.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7.</w:t>
        <w:tab/>
      </w:r>
      <w:r>
        <w:rPr>
          <w:rFonts w:ascii="Arial" w:hAnsi="Arial" w:eastAsia="Arial"/>
          <w:b/>
          <w:i w:val="0"/>
          <w:color w:val="1B1537"/>
          <w:sz w:val="18"/>
        </w:rPr>
        <w:t>Ofrece apoyo: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acompañamiento, un espacio privado para estar con el residente e información práctica.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8.</w:t>
        <w:tab/>
      </w:r>
      <w:r>
        <w:rPr>
          <w:rFonts w:ascii="Arial" w:hAnsi="Arial" w:eastAsia="Arial"/>
          <w:b/>
          <w:i w:val="0"/>
          <w:color w:val="1B1537"/>
          <w:sz w:val="18"/>
        </w:rPr>
        <w:t>Registra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conversación: fecha, quién habló con quién, qué se informó y qué se acordó.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Si un residente fallece, sigue además el Protocolo de acción ante fallecimiento de residentes (MACA-PRO-03).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Conflictos entre familiares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Cuando los familiares no están de acuerdo entre sí: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Mantén una posición neutral. El centro es la voluntad y el bienestar del residente, no la opinión de un familiar.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Entrega información solo a las personas autorizadas, aunque otros familiares insistan.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hay desacuerdo, ofrece una reunión con el director(a) técnico(a), con el residente presente si él quiere.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el residente no puede decidir y la familia no se pone de acuerdo, se respeta lo que decida su representante legal. Sugiere a la familia buscar orientación legal.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No intervengas en temas de herencias o bienes entre familiares. El dinero del residente se maneja según el Protocolo de manejo de dinero y bienes (MACA-ADM-02).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observas presiones, amenazas o maltrato hacia el residente, informa a la dirección y sigue el Protocolo de buen trato (MACA-CLI-09).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Respeta las órdenes judiciales, como una prohibición de acercamiento, y guarda una copia en la carpeta personal.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Los reclamos se reciben en el Libro de sugerencias y reclamos, que debe estar visible y disponible (art. 29 b).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Registro de comunicaciones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Anota toda comunicación relevante con la familia en esta tabla o en la carpeta personal del residente. Este registro y los datos de contacto de la familia se usan solo para coordinar el cuidado del residente y se guardan con acceso restringido (Ley 21.719).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44"/>
        <w:gridCol w:w="1456"/>
        <w:gridCol w:w="1665"/>
        <w:gridCol w:w="936"/>
        <w:gridCol w:w="2081"/>
        <w:gridCol w:w="1561"/>
        <w:gridCol w:w="1248"/>
      </w:tblGrid>
      <w:tr>
        <w:trPr>
          <w:trHeight w:val="340" w:hRule="atLeast"/>
          <w:tblHeader/>
        </w:trPr>
        <w:tc>
          <w:tcPr>
            <w:tcW w:type="dxa" w:w="11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y hora</w:t>
            </w:r>
          </w:p>
        </w:tc>
        <w:tc>
          <w:tcPr>
            <w:tcW w:type="dxa" w:w="145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Residente</w:t>
            </w:r>
          </w:p>
        </w:tc>
        <w:tc>
          <w:tcPr>
            <w:tcW w:type="dxa" w:w="1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 quién (nombre y relación)</w:t>
            </w:r>
          </w:p>
        </w:tc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Canal</w:t>
            </w:r>
          </w:p>
        </w:tc>
        <w:tc>
          <w:tcPr>
            <w:tcW w:type="dxa" w:w="20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Qué se informó o consultó</w:t>
            </w:r>
          </w:p>
        </w:tc>
        <w:tc>
          <w:tcPr>
            <w:tcW w:type="dxa" w:w="15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Acuerdos</w:t>
            </w: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11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4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comunicación con la familia y persona significativa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MACA-ADM-03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comunicación con la familia y persona significativa | MACA</dc:title>
  <dc:subject>Quién recibe información, por qué canales y cada cuánto, y cómo comunicar situaciones difíciles respetando la voluntad del residente.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