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y manejo de la agitación psicomotora y conductas difíciles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prevenir, calmar y registrar los episodios de agitación o conductas difíciles, cuidando al residente, a los demás residentes y al equipo. Normativa de referencia: Decreto 20 de 2021 del Ministerio de Salud, artículos 4 letra a), 12 letras d) y n), 18 letra e), 19 letras e), g) y h), 24, 29 letra e) y 30; Ley 20.584 (trato digno); Ley 16.744; Ley 21.643.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MACA-CLI-06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Prevenir la agitación y las conductas difíciles en los residentes y, cuando aparezcan, responder con calma y respeto, sin poner en riesgo a nadie. La conducta de una persona mayor casi siempre comunica algo: dolor, miedo, una necesidad o un cambio en su salud. Nuestra tarea es descubrir qué 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de la residencia, en todos los turnos, y a todos los residentes, en especial a quienes viven con demencia, deterioro cognitivo, trastornos del ánimo o enfermedades que alteran la conducta.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capacita al equipo, revisa cada episodio, coordina con el médico y avisa a la familia cuando hay agresión a otros o a sí mismo.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 o auxiliar de enfermería: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evalúa posibles causas de salud, toma signos vitales, avisa al médico y administra solo lo que está indicado.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conoce a los residentes, detecta las señales tempranas, aplica la desescalada y registra lo ocurrido.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organiza el apoyo, protege a los demás residentes y avisa a la dirección técnica.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Prevención: conocer a la persona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mejor herramienta es conocer bien a cada residente. Al ingreso y en cada revisión del plan de cuidados, completa en su carpeta personal: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Historia de vida: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cómo le gusta que lo llamen, oficio, familia, lugares importantes, gustos, música, creencias y temores.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Rutinas: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horas de sueño, de comida y de baño a las que está acostumbrado. Respétalas cuando sea posible.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Lo que lo calma y lo que lo altera: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palabras, personas, objetos, actividades o momentos del día.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Cómo se comunica: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usa lentes, audífonos o prótesis dental, y cómo expresa el dolor o el malestar si no puede decirlo.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pensar que es «la enfermedad» o «su carácter», busca un desencadenante: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16"/>
        <w:gridCol w:w="7475"/>
      </w:tblGrid>
      <w:tr>
        <w:trPr>
          <w:trHeight w:val="340" w:hRule="atLeast"/>
          <w:tblHeader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Desencadenante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revisar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Dolor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Gestos de dolor, quejidos, rechazo a moverse, posición incómoda, heridas, dolor de dientes o de articulaciones.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Infección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Fiebre, orina con mal olor o ardor, tos, decaimiento. En las personas mayores, una infección puede mostrarse solo como confusión o agitación.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Estreñimiento o retención de orina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Días sin deposición, abdomen distendido, ganas de orinar sin lograrlo, pañal seco por muchas horas.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Necesidades básicas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Hambre, sed, sueño, frío o calor, ganas de ir al baño, pañal mojado, aburrimiento o soledad.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Ambiente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Ruido, televisión o radio fuerte, mucha gente, poca luz al atardecer, sombras o espejos que lo asustan.</w:t>
            </w:r>
          </w:p>
        </w:tc>
      </w:tr>
      <w:tr>
        <w:trPr>
          <w:trHeight w:val="369" w:hRule="atLeast"/>
        </w:trPr>
        <w:tc>
          <w:tcPr>
            <w:tcW w:type="dxa" w:w="26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Cambios</w:t>
            </w:r>
          </w:p>
        </w:tc>
        <w:tc>
          <w:tcPr>
            <w:tcW w:type="dxa" w:w="7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 de habitación, de cuidador o de rutina, visitas o falta de visitas, hospitalización reciente, cambio de medicamentos.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Un cambio brusco de conducta, de conciencia o de atención, en horas o pocos días, puede ser un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delirium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(síndrome confusional agudo) por una enfermedad física. Avisa al médico el mismo día. Si hay signos de gravedad, aplica el Protocolo de acción ante urgencias médicas (MACA-PRO-02). Sin riesgo vital, el residente solo sigue en la residencia con indicación médica expresa y escrita y si hay personal y equipamiento para cuidarlo; si no, se traslada con su consentimiento informado o el de quien lo represente (Decreto 20, art. 24).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Señales tempranas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Actúa antes de que la situación crezca si notas: inquietud, caminar sin parar, voz más fuerte, ceño fruncido, puños apretados, tirarse la ropa, repetir la misma pregunta, querer «irse a la casa», rechazar la comida o los cuidados.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Desescalada verbal, paso a paso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Mantén la calma. Respira, baja el ritmo y recuerda que tu tono de voz marca el del residente.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Acércate de frente, despacio y a la altura de sus ojos, a una distancia prudente. No bloquees su salida ni la tuya.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Llámalo por su nombre, preséntate y dile en qué lo vas a ayudar.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Habla lento, en voz baja, con frases cortas y una idea a la vez.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Escucha y reconoce lo que siente: «Veo que está preocupado». No discutas, no corrijas sus ideas y no lo retes.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Busca la necesidad que hay detrás: pregunta por dolor, baño, hambre, frío o si busca a alguien.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Ofrece opciones simples: «¿Quiere caminar conmigo o prefiere sentarse aquí?».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  <w:t>Baja los estímulos: apaga la televisión, aleja a otras personas o invítalo a un lugar tranquilo si acepta.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9.</w:t>
        <w:tab/>
        <w:t>Redirige su atención con algo de su historia de vida: una canción, una foto, una tarea conocida, un café.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10.</w:t>
        <w:tab/>
        <w:t>Si no resulta, dale espacio y tiempo, deja que otra persona del equipo lo intente y posterga los cuidados que no son urgentes, como el baño.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Evita: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tocarlo sin avisar, sujetarlo de los brazos, gritar, amenazar, reírte, hacer muchas preguntas seguidas o rodearlo entre varias personas.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Seguridad de todos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Retira con calma los objetos con los que pueda dañarse o dañar a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Lleva a los demás residentes a otro espacio y quédate con ellos si están asustados.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hay riesgo, no te quedes solo(a): pide apoyo, pero que se acerque una persona a la vez.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hay riesgo inminente de daño grave para el residente o para otros y no logras controlarlo, llama al </w:t>
      </w:r>
      <w:r>
        <w:rPr>
          <w:rFonts w:ascii="Arial" w:hAnsi="Arial" w:eastAsia="Arial"/>
          <w:b/>
          <w:i w:val="0"/>
          <w:color w:val="1B1537"/>
          <w:sz w:val="18"/>
        </w:rPr>
        <w:t>SAMU (131)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a </w:t>
      </w:r>
      <w:r>
        <w:rPr>
          <w:rFonts w:ascii="Arial" w:hAnsi="Arial" w:eastAsia="Arial"/>
          <w:b/>
          <w:i w:val="0"/>
          <w:color w:val="1B1537"/>
          <w:sz w:val="18"/>
        </w:rPr>
        <w:t>Carabineros (133)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el caso, y avisa a la dirección técnica.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trabajador resulta agredido o lesionado, recibe atención, se registra y se informa a la jefatura para gestionarlo como accidente del trabajo ante el organismo administrador de la Ley 16.744. Aplica también el protocolo de prevención del acoso sexual, laboral y la violencia en el trabajo de la residencia (Ley 21.643).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Aviso al médico y a la familia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Avisa al médico tratante cuando la conducta cambia de forma brusca, hay fiebre u otra señal de enfermedad, los episodios se repiten, hubo lesiones o el equipo no logra manejarlos.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solo los medicamentos que el médico indicó por escrito, en la dosis, la vía y el horario indicados, y regístralos en la carpeta (Decreto 20, arts. 18 letra e y 19 letra g). No inicies, suspendas ni cambies ningún medicamento por tu cuenta.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Avisa a la familia, al representante legal o a la persona significativa cuando hubo agresión a otros o a sí mismo, lesiones o se usó alguna contención. El Decreto 20 pide a la dirección técnica asegurar esa coordinación (art. 12 letra n).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Contención: medida excepcional y última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Toda persona tiene derecho a un trato digno (Ley 20.584). Por eso, la contención física (sujetar o inmovilizar el cuerpo) y la contención farmacológica (medicamentos para controlar la conducta) son medidas </w:t>
      </w:r>
      <w:r>
        <w:rPr>
          <w:rFonts w:ascii="Arial" w:hAnsi="Arial" w:eastAsia="Arial"/>
          <w:b/>
          <w:i w:val="0"/>
          <w:color w:val="1B1537"/>
          <w:sz w:val="18"/>
        </w:rPr>
        <w:t>excepcionales</w:t>
      </w:r>
      <w:r>
        <w:rPr>
          <w:rFonts w:ascii="Arial" w:hAnsi="Arial" w:eastAsia="Arial"/>
          <w:b w:val="0"/>
          <w:i w:val="0"/>
          <w:color w:val="1B1537"/>
          <w:sz w:val="18"/>
        </w:rPr>
        <w:t>: se usan solo cuando todo lo anterior fracasó y hay un riesgo real para el residente o para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Solo con indicación médica</w:t>
      </w:r>
      <w:r>
        <w:rPr>
          <w:rFonts w:ascii="Arial" w:hAnsi="Arial" w:eastAsia="Arial"/>
          <w:b w:val="0"/>
          <w:i w:val="0"/>
          <w:color w:val="1B1537"/>
          <w:sz w:val="18"/>
        </w:rPr>
        <w:t>, que diga el tipo de contención, el motivo, cuánto tiempo y cada cuánto se revisa. Si hay riesgo inminente y no hay indicación, protege con las medidas de la sección 7 y llama de inmediato al médico o al SAMU.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Por el menor tiempo posible: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retira apenas pasa el riesgo.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 elementos diseñados para ello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por personal capacitado. Nunca sábanas, vendas, cinturones o amarras improvisadas, y nunca boca abajo.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 vigilancia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cada ________ minutos: respiración, color y circulación de manos y pies, piel, hidratación, necesidad de ir al baño y estado de conciencia.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 información: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explica al residente lo que se hace y se avisa a la familia o al representante.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 registro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 la indicación, la hora de inicio y de término, los controles y quién lo hizo.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La contención nunca se usa como castigo, por comodidad, por falta de personal ni para «ordenar» el turno. Subir las barandas de la cama o amarrar a la silla para impedir que una persona se levante también es contención y sigue estas mismas reglas.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Después del episodio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Acompaña al residente hasta que se calme. Revisa si tiene lesiones y ofrécele agua, comida o descanso.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Tranquiliza a los residentes que vieron lo ocurrido.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Conversa con el equipo en el mismo turno: qué lo provocó, qué ayudó y qué 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Actualiza en la carpeta lo que lo calma y lo que lo altera, y ajusta su plan de cuidados.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revisa los episodios del mes y decide si hace falta capacitación, cambios en el ambiente o una evaluación médica.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Registro de episodios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cada episodio en la carpeta personal del residente y en esta tabla. Estos datos se usan solo para cuidar al residente y ajustar su plan de cuidados, y se guardan con acceso restringido, con la reserva que piden el Decreto 20 (arts. 29 letra e y 30) y la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2"/>
        <w:gridCol w:w="1243"/>
        <w:gridCol w:w="1913"/>
        <w:gridCol w:w="1530"/>
        <w:gridCol w:w="1722"/>
        <w:gridCol w:w="1243"/>
        <w:gridCol w:w="1387"/>
      </w:tblGrid>
      <w:tr>
        <w:trPr>
          <w:trHeight w:val="340" w:hRule="atLeast"/>
          <w:tblHeader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pasó y posible desencadenante</w:t>
            </w: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Medidas usadas</w:t>
            </w: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Contención (tipo, indicación, inicio y término)</w:t>
            </w: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Avisos (médico y familia)</w:t>
            </w: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y manejo de la agitación psicomotora y conductas difíciles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MACA-CLI-06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y manejo de la agitación psicomotora y conductas difíciles | MACA</dc:title>
  <dc:subject>Cómo prevenir, calmar y registrar los episodios de agitación o conductas difíciles, cuidando al residente, a los demás residentes y al equipo.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