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Arial"/>
          <w:b/>
          <w:i w:val="0"/>
          <w:color w:val="1B1537"/>
          <w:sz w:val="32"/>
        </w:rPr>
        <w:t>Pauta de entrega de turno</w:t>
      </w:r>
    </w:p>
    <w:p>
      <w:pPr>
        <w:spacing w:before="0" w:after="160" w:line="276" w:lineRule="auto"/>
      </w:pPr>
      <w:r>
        <w:rPr>
          <w:rFonts w:ascii="Arial" w:hAnsi="Arial" w:eastAsia="Arial"/>
          <w:b w:val="0"/>
          <w:i w:val="0"/>
          <w:color w:val="6A6488"/>
          <w:sz w:val="17"/>
        </w:rPr>
        <w:t>Formulario para traspasar al turno siguiente el estado de cada residente y las novedades de la residencia, sin que se pierda información. Normativa de referencia: Decreto 20 de 2021 del Ministerio de Salud, artículos 12 letra n), 15 a 17, 19 letras e), f) y g), 29 letra e) y 30; Ley 21.719. Documento referencial: valídalo antes de usarlo.</w:t>
      </w:r>
    </w:p>
    <w:p>
      <w:pPr>
        <w:spacing w:before="160" w:after="80" w:line="276" w:lineRule="auto"/>
      </w:pPr>
      <w:r>
        <w:rPr>
          <w:rFonts w:ascii="Arial" w:hAnsi="Arial" w:eastAsia="Arial"/>
          <w:b/>
          <w:i w:val="0"/>
          <w:color w:val="6848DB"/>
          <w:sz w:val="22"/>
        </w:rPr>
        <w:t>1. Datos del turno</w:t>
      </w:r>
    </w:p>
    <w:tbl>
      <w:tblPr>
        <w:tblW w:type="auto" w:w="0"/>
        <w:jc w:val="left"/>
        <w:tblLayout w:type="fixed"/>
        <w:tblLook w:firstColumn="1" w:firstRow="1" w:lastColumn="0" w:lastRow="0" w:noHBand="0" w:noVBand="1" w:val="04A0"/>
      </w:tblPr>
      <w:tblGrid>
        <w:gridCol w:w="2194"/>
        <w:gridCol w:w="1755"/>
        <w:gridCol w:w="3071"/>
        <w:gridCol w:w="3071"/>
      </w:tblGrid>
      <w:tr>
        <w:trPr>
          <w:trHeight w:val="624" w:hRule="atLeast"/>
        </w:trPr>
        <w:tc>
          <w:tcPr>
            <w:tcW w:type="dxa" w:w="219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FECHA</w:t>
            </w:r>
          </w:p>
        </w:tc>
        <w:tc>
          <w:tcPr>
            <w:tcW w:type="dxa" w:w="1755"/>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HORA</w:t>
            </w:r>
          </w:p>
        </w:tc>
        <w:tc>
          <w:tcPr>
            <w:tcW w:type="dxa" w:w="307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SECTOR O PISO</w:t>
            </w:r>
          </w:p>
        </w:tc>
        <w:tc>
          <w:tcPr>
            <w:tcW w:type="dxa" w:w="307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N° DE RESIDENTES PRESENTES</w:t>
            </w:r>
          </w:p>
        </w:tc>
      </w:tr>
    </w:tbl>
    <w:p>
      <w:pPr>
        <w:spacing w:after="0"/>
      </w:pPr>
    </w:p>
    <w:tbl>
      <w:tblPr>
        <w:tblW w:type="auto" w:w="0"/>
        <w:jc w:val="left"/>
        <w:tblLayout w:type="fixed"/>
        <w:tblLook w:firstColumn="1" w:firstRow="1" w:lastColumn="0" w:lastRow="0" w:noHBand="0" w:noVBand="1" w:val="04A0"/>
      </w:tblPr>
      <w:tblGrid>
        <w:gridCol w:w="4388"/>
        <w:gridCol w:w="5704"/>
      </w:tblGrid>
      <w:tr>
        <w:trPr>
          <w:trHeight w:val="624" w:hRule="atLeast"/>
        </w:trPr>
        <w:tc>
          <w:tcPr>
            <w:tcW w:type="dxa" w:w="4388"/>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TURNO QUE ENTREGA (DÍA, NOCHE U OTRO)</w:t>
            </w:r>
          </w:p>
        </w:tc>
        <w:tc>
          <w:tcPr>
            <w:tcW w:type="dxa" w:w="570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ENTREGA: NOMBRE Y CARGO</w:t>
            </w:r>
          </w:p>
        </w:tc>
      </w:tr>
    </w:tbl>
    <w:p>
      <w:pPr>
        <w:spacing w:after="0"/>
      </w:pPr>
    </w:p>
    <w:tbl>
      <w:tblPr>
        <w:tblW w:type="auto" w:w="0"/>
        <w:jc w:val="left"/>
        <w:tblLayout w:type="fixed"/>
        <w:tblLook w:firstColumn="1" w:firstRow="1" w:lastColumn="0" w:lastRow="0" w:noHBand="0" w:noVBand="1" w:val="04A0"/>
      </w:tblPr>
      <w:tblGrid>
        <w:gridCol w:w="4388"/>
        <w:gridCol w:w="5704"/>
      </w:tblGrid>
      <w:tr>
        <w:trPr>
          <w:trHeight w:val="624" w:hRule="atLeast"/>
        </w:trPr>
        <w:tc>
          <w:tcPr>
            <w:tcW w:type="dxa" w:w="4388"/>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TURNO QUE RECIBE</w:t>
            </w:r>
          </w:p>
        </w:tc>
        <w:tc>
          <w:tcPr>
            <w:tcW w:type="dxa" w:w="570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RECIBE: NOMBRE Y CARGO</w:t>
            </w:r>
          </w:p>
        </w:tc>
      </w:tr>
    </w:tbl>
    <w:p>
      <w:pPr>
        <w:spacing w:after="0"/>
      </w:pPr>
    </w:p>
    <w:tbl>
      <w:tblPr>
        <w:tblW w:type="auto" w:w="0"/>
        <w:jc w:val="left"/>
        <w:tblLayout w:type="fixed"/>
        <w:tblLook w:firstColumn="1" w:firstRow="1" w:lastColumn="0" w:lastRow="0" w:noHBand="0" w:noVBand="1" w:val="04A0"/>
      </w:tblPr>
      <w:tblGrid>
        <w:gridCol w:w="4388"/>
        <w:gridCol w:w="5704"/>
      </w:tblGrid>
      <w:tr>
        <w:trPr>
          <w:trHeight w:val="624" w:hRule="atLeast"/>
        </w:trPr>
        <w:tc>
          <w:tcPr>
            <w:tcW w:type="dxa" w:w="4388"/>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N° DE CUIDADORES DEL TURNO QUE RECIBE</w:t>
            </w:r>
          </w:p>
        </w:tc>
        <w:tc>
          <w:tcPr>
            <w:tcW w:type="dxa" w:w="570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TÉCNICO(A) DE ENFERMERÍA PRESENTE O DE LLAMADA: NOMBRE Y TELÉFONO</w:t>
            </w:r>
          </w:p>
        </w:tc>
      </w:tr>
    </w:tbl>
    <w:p>
      <w:pPr>
        <w:spacing w:after="0"/>
      </w:pPr>
    </w:p>
    <w:p>
      <w:pPr>
        <w:spacing w:before="0" w:after="80" w:line="276" w:lineRule="auto"/>
      </w:pPr>
      <w:r>
        <w:rPr>
          <w:rFonts w:ascii="Arial" w:hAnsi="Arial" w:eastAsia="Arial"/>
          <w:b w:val="0"/>
          <w:i w:val="0"/>
          <w:color w:val="1B1537"/>
          <w:sz w:val="18"/>
        </w:rPr>
        <w:t>La dotación del turno debe cumplir el mínimo del Decreto 20 según el número de residentes y su dependencia; en la noche, siempre al menos 2 cuidadores (arts. 15 a 17). Si falta personal, avisa a la dirección antes de que se retire quien entrega.</w:t>
      </w:r>
    </w:p>
    <w:p>
      <w:pPr>
        <w:spacing w:before="160" w:after="80" w:line="276" w:lineRule="auto"/>
      </w:pPr>
      <w:r>
        <w:rPr>
          <w:rFonts w:ascii="Arial" w:hAnsi="Arial" w:eastAsia="Arial"/>
          <w:b/>
          <w:i w:val="0"/>
          <w:color w:val="6848DB"/>
          <w:sz w:val="22"/>
        </w:rPr>
        <w:t>2. Novedades por residente</w:t>
      </w:r>
    </w:p>
    <w:p>
      <w:pPr>
        <w:spacing w:before="0" w:after="80" w:line="276" w:lineRule="auto"/>
      </w:pPr>
      <w:r>
        <w:rPr>
          <w:rFonts w:ascii="Arial" w:hAnsi="Arial" w:eastAsia="Arial"/>
          <w:b w:val="0"/>
          <w:i w:val="0"/>
          <w:color w:val="1B1537"/>
          <w:sz w:val="18"/>
        </w:rPr>
        <w:t>Se registra a cada residente que tuvo novedades en el turno, partiendo por quienes tienen signos de alerta, indicaciones nuevas o controles pendientes. Los demás se anotan al final como residentes sin novedad.</w:t>
      </w:r>
    </w:p>
    <w:tbl>
      <w:tblPr>
        <w:tblW w:type="auto" w:w="0"/>
        <w:jc w:val="left"/>
        <w:tblLayout w:type="fixed"/>
        <w:tblLook w:firstColumn="1" w:firstRow="1" w:lastColumn="0" w:lastRow="0" w:noHBand="0" w:noVBand="1" w:val="04A0"/>
      </w:tblPr>
      <w:tblGrid>
        <w:gridCol w:w="491"/>
        <w:gridCol w:w="1636"/>
        <w:gridCol w:w="2400"/>
        <w:gridCol w:w="1964"/>
        <w:gridCol w:w="1964"/>
        <w:gridCol w:w="1636"/>
      </w:tblGrid>
      <w:tr>
        <w:trPr>
          <w:trHeight w:val="340" w:hRule="atLeast"/>
          <w:tblHeader/>
        </w:trPr>
        <w:tc>
          <w:tcPr>
            <w:tcW w:type="dxa" w:w="49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w:t>
            </w:r>
          </w:p>
        </w:tc>
        <w:tc>
          <w:tcPr>
            <w:tcW w:type="dxa" w:w="163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Residente (habitación)</w:t>
            </w:r>
          </w:p>
        </w:tc>
        <w:tc>
          <w:tcPr>
            <w:tcW w:type="dxa" w:w="240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Estado general y signos de alerta</w:t>
            </w:r>
          </w:p>
        </w:tc>
        <w:tc>
          <w:tcPr>
            <w:tcW w:type="dxa" w:w="19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Medicamentos o cambios de indicación</w:t>
            </w:r>
          </w:p>
        </w:tc>
        <w:tc>
          <w:tcPr>
            <w:tcW w:type="dxa" w:w="19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Pendientes para el turno que recibe</w:t>
            </w:r>
          </w:p>
        </w:tc>
        <w:tc>
          <w:tcPr>
            <w:tcW w:type="dxa" w:w="163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Aviso a la familia (quién avisó y hora)</w:t>
            </w:r>
          </w:p>
        </w:tc>
      </w:tr>
      <w:tr>
        <w:trPr>
          <w:trHeight w:val="369" w:hRule="atLeast"/>
        </w:trPr>
        <w:tc>
          <w:tcPr>
            <w:tcW w:type="dxa" w:w="4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1</w:t>
            </w: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2</w:t>
            </w: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3</w:t>
            </w: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4</w:t>
            </w: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5</w:t>
            </w: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6</w:t>
            </w: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7</w:t>
            </w: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8</w:t>
            </w: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9</w:t>
            </w: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10</w:t>
            </w: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11</w:t>
            </w: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12</w:t>
            </w: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13</w:t>
            </w: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14</w:t>
            </w: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15</w:t>
            </w: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4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16</w:t>
            </w: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400"/>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9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3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p>
      <w:pPr>
        <w:spacing w:before="0" w:after="80" w:line="276" w:lineRule="auto"/>
      </w:pPr>
      <w:r>
        <w:rPr>
          <w:rFonts w:ascii="Arial" w:hAnsi="Arial" w:eastAsia="Arial"/>
          <w:b w:val="0"/>
          <w:i w:val="0"/>
          <w:color w:val="1B1537"/>
          <w:sz w:val="18"/>
        </w:rPr>
        <w:t>Si un residente tuvo una caída, una herida, una descompensación, un episodio agudo o una agresión a otros o a sí mismo, anota si se avisó a su familia o persona significativa, quién lo hizo y a qué hora; si quedó pendiente, lo hace el turno que recibe. El Decreto 20 pide a la dirección técnica asegurar esa coordinación con la familia (art. 12 letra n). Si el cuidador administró medicamentos o tomó signos vitales porque no había técnico de enfermería, lo entrega y lo deja registrado en la carpeta (art. 19 letra g).</w:t>
      </w:r>
    </w:p>
    <w:tbl>
      <w:tblPr>
        <w:tblW w:type="auto" w:w="0"/>
        <w:jc w:val="left"/>
        <w:tblLayout w:type="fixed"/>
        <w:tblLook w:firstColumn="1" w:firstRow="1" w:lastColumn="0" w:lastRow="0" w:noHBand="0" w:noVBand="1" w:val="04A0"/>
      </w:tblPr>
      <w:tblGrid>
        <w:gridCol w:w="10091"/>
      </w:tblGrid>
      <w:tr>
        <w:trPr>
          <w:trHeight w:val="624" w:hRule="atLeast"/>
        </w:trPr>
        <w:tc>
          <w:tcPr>
            <w:tcW w:type="dxa" w:w="100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RESIDENTES SIN NOVEDAD</w:t>
            </w:r>
          </w:p>
        </w:tc>
      </w:tr>
    </w:tbl>
    <w:p>
      <w:pPr>
        <w:spacing w:after="0"/>
      </w:pPr>
    </w:p>
    <w:tbl>
      <w:tblPr>
        <w:tblW w:type="auto" w:w="0"/>
        <w:jc w:val="left"/>
        <w:tblLayout w:type="fixed"/>
        <w:tblLook w:firstColumn="1" w:firstRow="1" w:lastColumn="0" w:lastRow="0" w:noHBand="0" w:noVBand="1" w:val="04A0"/>
      </w:tblPr>
      <w:tblGrid>
        <w:gridCol w:w="10091"/>
      </w:tblGrid>
      <w:tr>
        <w:trPr>
          <w:trHeight w:val="624" w:hRule="atLeast"/>
        </w:trPr>
        <w:tc>
          <w:tcPr>
            <w:tcW w:type="dxa" w:w="100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r>
          </w:p>
        </w:tc>
      </w:tr>
    </w:tbl>
    <w:p>
      <w:pPr>
        <w:spacing w:after="0"/>
      </w:pPr>
    </w:p>
    <w:p>
      <w:pPr>
        <w:spacing w:before="160" w:after="80" w:line="276" w:lineRule="auto"/>
      </w:pPr>
      <w:r>
        <w:rPr>
          <w:rFonts w:ascii="Arial" w:hAnsi="Arial" w:eastAsia="Arial"/>
          <w:b/>
          <w:i w:val="0"/>
          <w:color w:val="6848DB"/>
          <w:sz w:val="22"/>
        </w:rPr>
        <w:t>3. Novedades generales de la residencia</w:t>
      </w:r>
    </w:p>
    <w:tbl>
      <w:tblPr>
        <w:tblW w:type="auto" w:w="0"/>
        <w:jc w:val="left"/>
        <w:tblLayout w:type="fixed"/>
        <w:tblLook w:firstColumn="1" w:firstRow="1" w:lastColumn="0" w:lastRow="0" w:noHBand="0" w:noVBand="1" w:val="04A0"/>
      </w:tblPr>
      <w:tblGrid>
        <w:gridCol w:w="2656"/>
        <w:gridCol w:w="5577"/>
        <w:gridCol w:w="1859"/>
      </w:tblGrid>
      <w:tr>
        <w:trPr>
          <w:trHeight w:val="340" w:hRule="atLeast"/>
          <w:tblHeader/>
        </w:trPr>
        <w:tc>
          <w:tcPr>
            <w:tcW w:type="dxa" w:w="265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Tema</w:t>
            </w:r>
          </w:p>
        </w:tc>
        <w:tc>
          <w:tcPr>
            <w:tcW w:type="dxa" w:w="5577"/>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Novedad</w:t>
            </w:r>
          </w:p>
        </w:tc>
        <w:tc>
          <w:tcPr>
            <w:tcW w:type="dxa" w:w="1859"/>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Quién lo sigue</w:t>
            </w:r>
          </w:p>
        </w:tc>
      </w:tr>
      <w:tr>
        <w:trPr>
          <w:trHeight w:val="369" w:hRule="atLeast"/>
        </w:trPr>
        <w:tc>
          <w:tcPr>
            <w:tcW w:type="dxa" w:w="265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i w:val="0"/>
                <w:color w:val="1B1537"/>
                <w:sz w:val="16"/>
              </w:rPr>
              <w:t>Insumos:</w:t>
            </w:r>
            <w:r>
              <w:rPr>
                <w:rFonts w:ascii="Arial" w:hAnsi="Arial" w:eastAsia="Arial"/>
                <w:b w:val="0"/>
                <w:i w:val="0"/>
                <w:color w:val="1B1537"/>
                <w:sz w:val="16"/>
              </w:rPr>
              <w:t xml:space="preserve"> pañales, guantes, medicamentos o alimentos por reponer</w:t>
            </w:r>
          </w:p>
        </w:tc>
        <w:tc>
          <w:tcPr>
            <w:tcW w:type="dxa" w:w="557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859"/>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265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i w:val="0"/>
                <w:color w:val="1B1537"/>
                <w:sz w:val="16"/>
              </w:rPr>
              <w:t>Equipos:</w:t>
            </w:r>
            <w:r>
              <w:rPr>
                <w:rFonts w:ascii="Arial" w:hAnsi="Arial" w:eastAsia="Arial"/>
                <w:b w:val="0"/>
                <w:i w:val="0"/>
                <w:color w:val="1B1537"/>
                <w:sz w:val="16"/>
              </w:rPr>
              <w:t xml:space="preserve"> saturómetro, glucómetro, colchones, grúa, timbres</w:t>
            </w:r>
          </w:p>
        </w:tc>
        <w:tc>
          <w:tcPr>
            <w:tcW w:type="dxa" w:w="557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85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265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i w:val="0"/>
                <w:color w:val="1B1537"/>
                <w:sz w:val="16"/>
              </w:rPr>
              <w:t>Visitas, salidas y controles de salud</w:t>
            </w:r>
          </w:p>
        </w:tc>
        <w:tc>
          <w:tcPr>
            <w:tcW w:type="dxa" w:w="557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859"/>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265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i w:val="0"/>
                <w:color w:val="1B1537"/>
                <w:sz w:val="16"/>
              </w:rPr>
              <w:t>Eventos:</w:t>
            </w:r>
            <w:r>
              <w:rPr>
                <w:rFonts w:ascii="Arial" w:hAnsi="Arial" w:eastAsia="Arial"/>
                <w:b w:val="0"/>
                <w:i w:val="0"/>
                <w:color w:val="1B1537"/>
                <w:sz w:val="16"/>
              </w:rPr>
              <w:t xml:space="preserve"> caídas, urgencias, traslados, reclamos</w:t>
            </w:r>
          </w:p>
        </w:tc>
        <w:tc>
          <w:tcPr>
            <w:tcW w:type="dxa" w:w="557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85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2656"/>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i w:val="0"/>
                <w:color w:val="1B1537"/>
                <w:sz w:val="16"/>
              </w:rPr>
              <w:t>Instalaciones:</w:t>
            </w:r>
            <w:r>
              <w:rPr>
                <w:rFonts w:ascii="Arial" w:hAnsi="Arial" w:eastAsia="Arial"/>
                <w:b w:val="0"/>
                <w:i w:val="0"/>
                <w:color w:val="1B1537"/>
                <w:sz w:val="16"/>
              </w:rPr>
              <w:t xml:space="preserve"> agua, luz, gas, aseo, seguridad</w:t>
            </w:r>
          </w:p>
        </w:tc>
        <w:tc>
          <w:tcPr>
            <w:tcW w:type="dxa" w:w="557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859"/>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265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i w:val="0"/>
                <w:color w:val="1B1537"/>
                <w:sz w:val="16"/>
              </w:rPr>
              <w:t>Otros</w:t>
            </w:r>
          </w:p>
        </w:tc>
        <w:tc>
          <w:tcPr>
            <w:tcW w:type="dxa" w:w="557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85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4. Firmas</w:t>
      </w:r>
    </w:p>
    <w:tbl>
      <w:tblPr>
        <w:tblW w:type="auto" w:w="0"/>
        <w:jc w:val="left"/>
        <w:tblLayout w:type="fixed"/>
        <w:tblLook w:firstColumn="1" w:firstRow="1" w:lastColumn="0" w:lastRow="0" w:noHBand="0" w:noVBand="1" w:val="04A0"/>
      </w:tblPr>
      <w:tblGrid>
        <w:gridCol w:w="3364"/>
        <w:gridCol w:w="3364"/>
        <w:gridCol w:w="3364"/>
      </w:tblGrid>
      <w:tr>
        <w:trPr>
          <w:trHeight w:val="794" w:hRule="atLeast"/>
        </w:trPr>
        <w:tc>
          <w:tcPr>
            <w:tcW w:type="dxa" w:w="3364"/>
            <w:tcBorders>
              <w:top w:val="nil"/>
              <w:left w:val="nil"/>
              <w:bottom w:val="single" w:sz="6" w:color="463F66"/>
              <w:right w:val="nil"/>
            </w:tcBorders>
            <w:vAlign w:val="center"/>
          </w:tcPr>
          <w:p/>
        </w:tc>
        <w:tc>
          <w:tcPr>
            <w:tcW w:type="dxa" w:w="3364"/>
            <w:tcBorders>
              <w:top w:val="nil"/>
              <w:left w:val="nil"/>
              <w:bottom w:val="single" w:sz="6" w:color="463F66"/>
              <w:right w:val="nil"/>
            </w:tcBorders>
            <w:vAlign w:val="center"/>
          </w:tcPr>
          <w:p/>
        </w:tc>
        <w:tc>
          <w:tcPr>
            <w:tcW w:type="dxa" w:w="3364"/>
            <w:tcBorders>
              <w:top w:val="nil"/>
              <w:left w:val="nil"/>
              <w:bottom w:val="single" w:sz="6" w:color="463F66"/>
              <w:right w:val="nil"/>
            </w:tcBorders>
            <w:vAlign w:val="center"/>
          </w:tcPr>
          <w:p/>
        </w:tc>
      </w:tr>
      <w:tr>
        <w:trPr>
          <w:trHeight w:val="340" w:hRule="atLeast"/>
        </w:trPr>
        <w:tc>
          <w:tcPr>
            <w:tcW w:type="dxa" w:w="3364"/>
            <w:tcBorders>
              <w:top w:val="nil"/>
              <w:left w:val="nil"/>
              <w:bottom w:val="nil"/>
              <w:right w:val="nil"/>
            </w:tcBorders>
            <w:vAlign w:val="center"/>
          </w:tcPr>
          <w:p>
            <w:r>
              <w:rPr>
                <w:rFonts w:ascii="Arial" w:hAnsi="Arial" w:eastAsia="Arial"/>
                <w:b w:val="0"/>
                <w:i w:val="0"/>
                <w:color w:val="6A6488"/>
                <w:sz w:val="14"/>
              </w:rPr>
              <w:t>Entrega: nombre y firma</w:t>
            </w:r>
          </w:p>
        </w:tc>
        <w:tc>
          <w:tcPr>
            <w:tcW w:type="dxa" w:w="3364"/>
            <w:tcBorders>
              <w:top w:val="nil"/>
              <w:left w:val="nil"/>
              <w:bottom w:val="nil"/>
              <w:right w:val="nil"/>
            </w:tcBorders>
            <w:vAlign w:val="center"/>
          </w:tcPr>
          <w:p>
            <w:r>
              <w:rPr>
                <w:rFonts w:ascii="Arial" w:hAnsi="Arial" w:eastAsia="Arial"/>
                <w:b w:val="0"/>
                <w:i w:val="0"/>
                <w:color w:val="6A6488"/>
                <w:sz w:val="14"/>
              </w:rPr>
              <w:t>Recibe: nombre y firma</w:t>
            </w:r>
          </w:p>
        </w:tc>
        <w:tc>
          <w:tcPr>
            <w:tcW w:type="dxa" w:w="3364"/>
            <w:tcBorders>
              <w:top w:val="nil"/>
              <w:left w:val="nil"/>
              <w:bottom w:val="nil"/>
              <w:right w:val="nil"/>
            </w:tcBorders>
            <w:vAlign w:val="center"/>
          </w:tcPr>
          <w:p>
            <w:r>
              <w:rPr>
                <w:rFonts w:ascii="Arial" w:hAnsi="Arial" w:eastAsia="Arial"/>
                <w:b w:val="0"/>
                <w:i w:val="0"/>
                <w:color w:val="6A6488"/>
                <w:sz w:val="14"/>
              </w:rPr>
              <w:t>Hora de término</w:t>
            </w:r>
          </w:p>
        </w:tc>
      </w:tr>
    </w:tbl>
    <w:p>
      <w:pPr>
        <w:spacing w:after="40"/>
      </w:pPr>
    </w:p>
    <w:p>
      <w:pPr>
        <w:spacing w:before="160" w:after="80" w:line="276" w:lineRule="auto"/>
      </w:pPr>
      <w:r>
        <w:rPr>
          <w:rFonts w:ascii="Arial" w:hAnsi="Arial" w:eastAsia="Arial"/>
          <w:b/>
          <w:i w:val="0"/>
          <w:color w:val="6848DB"/>
          <w:sz w:val="22"/>
        </w:rPr>
        <w:t>5. Guía para una buena entrega de turno</w:t>
      </w:r>
    </w:p>
    <w:p>
      <w:pPr>
        <w:pStyle w:val="ListBullet"/>
        <w:spacing w:before="0" w:after="40" w:line="276" w:lineRule="auto"/>
      </w:pPr>
      <w:r>
        <w:rPr>
          <w:rFonts w:ascii="Arial" w:hAnsi="Arial" w:eastAsia="Arial"/>
          <w:b/>
          <w:i w:val="0"/>
          <w:color w:val="1B1537"/>
          <w:sz w:val="18"/>
        </w:rPr>
        <w:t>Presencial y a la hora.</w:t>
      </w:r>
      <w:r>
        <w:rPr>
          <w:rFonts w:ascii="Arial" w:hAnsi="Arial" w:eastAsia="Arial"/>
          <w:b w:val="0"/>
          <w:i w:val="0"/>
          <w:color w:val="1B1537"/>
          <w:sz w:val="18"/>
        </w:rPr>
        <w:t xml:space="preserve"> La entrega se hace cara a cara, en un tiempo reservado para ello al cambio de turno (________ minutos). Quien entrega no se retira hasta que quien recibe confirma que entendió.</w:t>
      </w:r>
    </w:p>
    <w:p>
      <w:pPr>
        <w:pStyle w:val="ListBullet"/>
        <w:spacing w:before="0" w:after="40" w:line="276" w:lineRule="auto"/>
      </w:pPr>
      <w:r>
        <w:rPr>
          <w:rFonts w:ascii="Arial" w:hAnsi="Arial" w:eastAsia="Arial"/>
          <w:b/>
          <w:i w:val="0"/>
          <w:color w:val="1B1537"/>
          <w:sz w:val="18"/>
        </w:rPr>
        <w:t>Al lado del residente cuando se pueda.</w:t>
      </w:r>
      <w:r>
        <w:rPr>
          <w:rFonts w:ascii="Arial" w:hAnsi="Arial" w:eastAsia="Arial"/>
          <w:b w:val="0"/>
          <w:i w:val="0"/>
          <w:color w:val="1B1537"/>
          <w:sz w:val="18"/>
        </w:rPr>
        <w:t xml:space="preserve"> Recorrer las habitaciones permite ver al residente, su posición, su piel y sus equipos, y que él mismo participe. Lo delicado se conversa en voz baja y lejos de otros residentes y visitas.</w:t>
      </w:r>
    </w:p>
    <w:p>
      <w:pPr>
        <w:pStyle w:val="ListBullet"/>
        <w:spacing w:before="0" w:after="40" w:line="276" w:lineRule="auto"/>
      </w:pPr>
      <w:r>
        <w:rPr>
          <w:rFonts w:ascii="Arial" w:hAnsi="Arial" w:eastAsia="Arial"/>
          <w:b/>
          <w:i w:val="0"/>
          <w:color w:val="1B1537"/>
          <w:sz w:val="18"/>
        </w:rPr>
        <w:t>Información clara y ordenada.</w:t>
      </w:r>
      <w:r>
        <w:rPr>
          <w:rFonts w:ascii="Arial" w:hAnsi="Arial" w:eastAsia="Arial"/>
          <w:b w:val="0"/>
          <w:i w:val="0"/>
          <w:color w:val="1B1537"/>
          <w:sz w:val="18"/>
        </w:rPr>
        <w:t xml:space="preserve"> Se usa el mismo orden para cada residente: cómo está, qué cambió, qué medicamentos o indicaciones son nuevos, qué queda pendiente y qué pasó con su familia. Se entregan hechos, con horas y valores, no impresiones.</w:t>
      </w:r>
    </w:p>
    <w:p>
      <w:pPr>
        <w:pStyle w:val="ListBullet"/>
        <w:spacing w:before="0" w:after="40" w:line="276" w:lineRule="auto"/>
      </w:pPr>
      <w:r>
        <w:rPr>
          <w:rFonts w:ascii="Arial" w:hAnsi="Arial" w:eastAsia="Arial"/>
          <w:b/>
          <w:i w:val="0"/>
          <w:color w:val="1B1537"/>
          <w:sz w:val="18"/>
        </w:rPr>
        <w:t>Primero lo urgente.</w:t>
      </w:r>
      <w:r>
        <w:rPr>
          <w:rFonts w:ascii="Arial" w:hAnsi="Arial" w:eastAsia="Arial"/>
          <w:b w:val="0"/>
          <w:i w:val="0"/>
          <w:color w:val="1B1537"/>
          <w:sz w:val="18"/>
        </w:rPr>
        <w:t xml:space="preserve"> Se parte por los residentes con signos de alerta, indicaciones nuevas o controles en el turno siguiente.</w:t>
      </w:r>
    </w:p>
    <w:p>
      <w:pPr>
        <w:pStyle w:val="ListBullet"/>
        <w:spacing w:before="0" w:after="40" w:line="276" w:lineRule="auto"/>
      </w:pPr>
      <w:r>
        <w:rPr>
          <w:rFonts w:ascii="Arial" w:hAnsi="Arial" w:eastAsia="Arial"/>
          <w:b/>
          <w:i w:val="0"/>
          <w:color w:val="1B1537"/>
          <w:sz w:val="18"/>
        </w:rPr>
        <w:t>Sin comentarios fuera de lugar.</w:t>
      </w:r>
      <w:r>
        <w:rPr>
          <w:rFonts w:ascii="Arial" w:hAnsi="Arial" w:eastAsia="Arial"/>
          <w:b w:val="0"/>
          <w:i w:val="0"/>
          <w:color w:val="1B1537"/>
          <w:sz w:val="18"/>
        </w:rPr>
        <w:t xml:space="preserve"> No se hacen juicios ni bromas sobre residentes, familias o compañeros. Se habla de cada residente con el mismo respeto que si estuviera escuchando.</w:t>
      </w:r>
    </w:p>
    <w:p>
      <w:pPr>
        <w:pStyle w:val="ListBullet"/>
        <w:spacing w:before="0" w:after="40" w:line="276" w:lineRule="auto"/>
      </w:pPr>
      <w:r>
        <w:rPr>
          <w:rFonts w:ascii="Arial" w:hAnsi="Arial" w:eastAsia="Arial"/>
          <w:b/>
          <w:i w:val="0"/>
          <w:color w:val="1B1537"/>
          <w:sz w:val="18"/>
        </w:rPr>
        <w:t>Reserva.</w:t>
      </w:r>
      <w:r>
        <w:rPr>
          <w:rFonts w:ascii="Arial" w:hAnsi="Arial" w:eastAsia="Arial"/>
          <w:b w:val="0"/>
          <w:i w:val="0"/>
          <w:color w:val="1B1537"/>
          <w:sz w:val="18"/>
        </w:rPr>
        <w:t xml:space="preserve"> La pauta contiene datos de salud y se usa solo para dar continuidad al cuidado entre turnos. Se guarda con acceso restringido en la sala de atención de salud, no se fotografía ni se comparte por mensajería personal (Decreto 20, art. 30; Ley 21.719).</w:t>
      </w:r>
    </w:p>
    <w:p>
      <w:pPr>
        <w:pStyle w:val="ListBullet"/>
        <w:spacing w:before="0" w:after="40" w:line="276" w:lineRule="auto"/>
      </w:pPr>
      <w:r>
        <w:rPr>
          <w:rFonts w:ascii="Arial" w:hAnsi="Arial" w:eastAsia="Arial"/>
          <w:b/>
          <w:i w:val="0"/>
          <w:color w:val="1B1537"/>
          <w:sz w:val="18"/>
        </w:rPr>
        <w:t>Lo que no está escrito no se entregó.</w:t>
      </w:r>
      <w:r>
        <w:rPr>
          <w:rFonts w:ascii="Arial" w:hAnsi="Arial" w:eastAsia="Arial"/>
          <w:b w:val="0"/>
          <w:i w:val="0"/>
          <w:color w:val="1B1537"/>
          <w:sz w:val="18"/>
        </w:rPr>
        <w:t xml:space="preserve"> Las novedades importantes de cada residente también se registran en su carpeta personal.</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En MACA, la entrega de turno queda registrada en la ficha clínica digital: cada evolución se guarda con fecha, hora y tipo, y queda escrita para todo el equipo.</w:t>
            </w:r>
          </w:p>
        </w:tc>
      </w:tr>
    </w:tbl>
    <w:p>
      <w:pPr>
        <w:spacing w:after="40"/>
      </w:pPr>
    </w:p>
    <w:sectPr w:rsidR="00FC693F" w:rsidRPr="0006063C" w:rsidSect="00034616">
      <w:headerReference w:type="default" r:id="rId9"/>
      <w:footerReference w:type="default" r:id="rId10"/>
      <w:pgSz w:w="11906" w:h="16838"/>
      <w:pgMar w:top="1247" w:right="907" w:bottom="1020" w:left="90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pPr>
    <w:r>
      <w:rPr>
        <w:rFonts w:ascii="Arial" w:hAnsi="Arial" w:eastAsia="Arial"/>
        <w:b w:val="0"/>
        <w:i w:val="0"/>
        <w:color w:val="6A6488"/>
        <w:sz w:val="14"/>
      </w:rPr>
      <w:t>Documento referencial de MACA · macainn.cl/recursos · Adáptalo a tu residencia y valídalo con tu asesor antes de usarlo.</w:t>
      <w:tab/>
      <w:t xml:space="preserve">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1" w:val="right"/>
      </w:tabs>
    </w:pPr>
    <w:r>
      <w:drawing>
        <wp:inline xmlns:a="http://schemas.openxmlformats.org/drawingml/2006/main" xmlns:pic="http://schemas.openxmlformats.org/drawingml/2006/picture">
          <wp:extent cx="936000" cy="175158"/>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
                  <a:stretch>
                    <a:fillRect/>
                  </a:stretch>
                </pic:blipFill>
                <pic:spPr>
                  <a:xfrm>
                    <a:off x="0" y="0"/>
                    <a:ext cx="936000" cy="175158"/>
                  </a:xfrm>
                  <a:prstGeom prst="rect"/>
                </pic:spPr>
              </pic:pic>
            </a:graphicData>
          </a:graphic>
        </wp:inline>
      </w:drawing>
    </w:r>
    <w:r>
      <w:rPr>
        <w:rFonts w:ascii="Arial" w:hAnsi="Arial" w:eastAsia="Arial"/>
        <w:b/>
        <w:i w:val="0"/>
        <w:color w:val="1B1537"/>
        <w:sz w:val="16"/>
      </w:rPr>
      <w:tab/>
      <w:t>Pauta de entrega de turno</w:t>
    </w:r>
  </w:p>
  <w:p>
    <w:pPr>
      <w:jc w:val="right"/>
    </w:pPr>
    <w:r>
      <w:rPr>
        <w:rFonts w:ascii="Arial" w:hAnsi="Arial" w:eastAsia="Arial"/>
        <w:b w:val="0"/>
        <w:i w:val="0"/>
        <w:color w:val="6A6488"/>
        <w:sz w:val="14"/>
      </w:rPr>
      <w:t>MACA-PER-04 · Formulario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Pauta de entrega de turno | MACA</dc:title>
  <dc:subject>Formulario para traspasar al turno siguiente el estado de cada residente y las novedades de la residencia, sin que se pierda información.</dc:subject>
  <dc:creator>MACA de MERA INN</dc:creator>
  <cp:keywords>ELEAM, residencias, Decreto 20,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