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7143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Inventario de bienes personales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Decreto 20, artículo 28 letras b) y d)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69"/>
        <w:gridCol w:w="2586"/>
        <w:gridCol w:w="1990"/>
      </w:tblGrid>
      <w:tr>
        <w:trPr>
          <w:trHeight w:val="539" w:hRule="atLeast"/>
        </w:trPr>
        <w:tc>
          <w:tcPr>
            <w:tcW w:type="dxa" w:w="5969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258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  <w:tc>
          <w:tcPr>
            <w:tcW w:type="dxa" w:w="1990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42"/>
        <w:gridCol w:w="2742"/>
        <w:gridCol w:w="5062"/>
      </w:tblGrid>
      <w:tr>
        <w:trPr>
          <w:trHeight w:val="539" w:hRule="atLeast"/>
        </w:trPr>
        <w:tc>
          <w:tcPr>
            <w:tcW w:type="dxa" w:w="274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INGRESO</w:t>
            </w:r>
          </w:p>
        </w:tc>
        <w:tc>
          <w:tcPr>
            <w:tcW w:type="dxa" w:w="274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ACTUALIZACIÓN</w:t>
            </w:r>
          </w:p>
        </w:tc>
        <w:tc>
          <w:tcPr>
            <w:tcW w:type="dxa" w:w="506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REPRESENTANTE O FAMILIAR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BIENES PERSONALES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88"/>
        <w:gridCol w:w="3515"/>
        <w:gridCol w:w="1020"/>
        <w:gridCol w:w="1361"/>
        <w:gridCol w:w="1361"/>
      </w:tblGrid>
      <w:tr>
        <w:trPr>
          <w:trHeight w:val="340" w:hRule="atLeast"/>
          <w:tblHeader/>
        </w:trPr>
        <w:tc>
          <w:tcPr>
            <w:tcW w:type="dxa" w:w="328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Bien u objeto</w:t>
            </w:r>
          </w:p>
        </w:tc>
        <w:tc>
          <w:tcPr>
            <w:tcW w:type="dxa" w:w="351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Descripción (marca, color, estado)</w:t>
            </w:r>
          </w:p>
        </w:tc>
        <w:tc>
          <w:tcPr>
            <w:tcW w:type="dxa" w:w="1020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Cantidad</w:t>
            </w:r>
          </w:p>
        </w:tc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 de ingreso</w:t>
            </w:r>
          </w:p>
        </w:tc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 de retiro</w:t>
            </w: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32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40" w:after="60" w:line="240" w:lineRule="auto"/>
      </w:pPr>
      <w:r>
        <w:rPr>
          <w:rFonts w:ascii="Arial" w:hAnsi="Arial" w:eastAsia="Arial"/>
          <w:b/>
          <w:i w:val="0"/>
          <w:color w:val="1B1537"/>
          <w:sz w:val="15"/>
        </w:rPr>
        <w:t xml:space="preserve">Ayudas técnicas: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Bastón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Andador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Silla de ruedas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Audífonos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Lentes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Prótesis dental     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75"/>
        <w:gridCol w:w="4275"/>
        <w:gridCol w:w="1995"/>
      </w:tblGrid>
      <w:tr>
        <w:trPr>
          <w:trHeight w:val="567" w:hRule="atLeast"/>
        </w:trPr>
        <w:tc>
          <w:tcPr>
            <w:tcW w:type="dxa" w:w="427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427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199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227" w:hRule="atLeast"/>
        </w:trPr>
        <w:tc>
          <w:tcPr>
            <w:tcW w:type="dxa" w:w="427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Residente o representante</w:t>
            </w:r>
          </w:p>
        </w:tc>
        <w:tc>
          <w:tcPr>
            <w:tcW w:type="dxa" w:w="427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Responsable del establecimiento</w:t>
            </w:r>
          </w:p>
        </w:tc>
        <w:tc>
          <w:tcPr>
            <w:tcW w:type="dxa" w:w="199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ACTUALIZACIONES DEL INVENTARIO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61"/>
        <w:gridCol w:w="4535"/>
        <w:gridCol w:w="2381"/>
        <w:gridCol w:w="2268"/>
      </w:tblGrid>
      <w:tr>
        <w:trPr>
          <w:trHeight w:val="340" w:hRule="atLeast"/>
          <w:tblHeader/>
        </w:trPr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</w:t>
            </w:r>
          </w:p>
        </w:tc>
        <w:tc>
          <w:tcPr>
            <w:tcW w:type="dxa" w:w="453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Motivo (revisión anual, ingreso o retiro de bienes, término del contrato)</w:t>
            </w:r>
          </w:p>
        </w:tc>
        <w:tc>
          <w:tcPr>
            <w:tcW w:type="dxa" w:w="238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Firma residente o representante</w:t>
            </w:r>
          </w:p>
        </w:tc>
        <w:tc>
          <w:tcPr>
            <w:tcW w:type="dxa" w:w="226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Firma del establecimiento</w:t>
            </w:r>
          </w:p>
        </w:tc>
      </w:tr>
      <w:tr>
        <w:trPr>
          <w:trHeight w:val="420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20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Decreto 20, art. 28: el contrato debe incluir un inventario simple de los bienes con que ingresa el residente, que se actualiza al menos una vez al año y al término del contrato, junto con la rendición de cuentas si el establecimiento administra pensiones u otros ingresos del residente.</w:t>
      </w:r>
    </w:p>
    <w:sectPr w:rsidR="00FC693F" w:rsidRPr="0006063C" w:rsidSect="00034616">
      <w:footerReference w:type="default" r:id="rId9"/>
      <w:pgSz w:w="11906" w:h="16838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Inventario de bienes personales | MACA</dc:title>
  <dc:subject>Inventario simple de los bienes con que la persona mayor ingresa al ELEAM, para actualizar al menos una vez al año y al término del contrato.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