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276" w:lineRule="auto"/>
      </w:pPr>
      <w:r>
        <w:rPr>
          <w:rFonts w:ascii="Arial" w:hAnsi="Arial" w:eastAsia="Arial"/>
          <w:b/>
          <w:i w:val="0"/>
          <w:color w:val="1B1537"/>
          <w:sz w:val="32"/>
        </w:rPr>
        <w:t>Checklist de seguridad de la información</w:t>
      </w:r>
    </w:p>
    <w:p>
      <w:pPr>
        <w:spacing w:before="0" w:after="160" w:line="276" w:lineRule="auto"/>
      </w:pPr>
      <w:r>
        <w:rPr>
          <w:rFonts w:ascii="Arial" w:hAnsi="Arial" w:eastAsia="Arial"/>
          <w:b w:val="0"/>
          <w:i w:val="0"/>
          <w:color w:val="6A6488"/>
          <w:sz w:val="17"/>
        </w:rPr>
        <w:t>Revisión rápida de las medidas que protegen los datos de residentes, familias y trabajadores, en papel y en formato digital. Normativa de referencia: Ley 21.719 (Ley 19.628 modificada); Ley 20.584; Decreto 41 de 2012 del Ministerio de Salud, artículo 9; Decreto 20 de 2021 del Ministerio de Salud, artículos 29 letra e) y 30. Documento referencial: valídalo antes de usarlo.</w:t>
      </w:r>
    </w:p>
    <w:p>
      <w:pPr>
        <w:spacing w:before="160" w:after="80" w:line="276" w:lineRule="auto"/>
      </w:pPr>
      <w:r>
        <w:rPr>
          <w:rFonts w:ascii="Arial" w:hAnsi="Arial" w:eastAsia="Arial"/>
          <w:b/>
          <w:i w:val="0"/>
          <w:color w:val="6848DB"/>
          <w:sz w:val="22"/>
        </w:rPr>
        <w:t>Cómo usar este checklist</w:t>
      </w:r>
    </w:p>
    <w:p>
      <w:pPr>
        <w:spacing w:before="0" w:after="80" w:line="276" w:lineRule="auto"/>
      </w:pPr>
      <w:r>
        <w:rPr>
          <w:rFonts w:ascii="Arial" w:hAnsi="Arial" w:eastAsia="Arial"/>
          <w:b w:val="0"/>
          <w:i w:val="0"/>
          <w:color w:val="1B1537"/>
          <w:sz w:val="18"/>
        </w:rPr>
        <w:t>La Ley 21.719 entra en vigencia el 1 de diciembre de 2026 y exige, entre otras cosas, aplicar medidas de seguridad adecuadas al riesgo, que pueden incluir revisar su eficacia en forma regular. Ante un incidente, la residencia debe poder demostrar las medidas que aplicó. Este checklist te ayuda a revisar las más importantes para una residencia; no reemplaza la asesoría legal.</w:t>
      </w:r>
    </w:p>
    <w:p>
      <w:pPr>
        <w:spacing w:before="0" w:after="80" w:line="276" w:lineRule="auto"/>
      </w:pPr>
      <w:r>
        <w:rPr>
          <w:rFonts w:ascii="Arial" w:hAnsi="Arial" w:eastAsia="Arial"/>
          <w:b w:val="0"/>
          <w:i w:val="0"/>
          <w:color w:val="1B1537"/>
          <w:sz w:val="18"/>
        </w:rPr>
        <w:t xml:space="preserve">Marca </w:t>
      </w:r>
      <w:r>
        <w:rPr>
          <w:rFonts w:ascii="Arial" w:hAnsi="Arial" w:eastAsia="Arial"/>
          <w:b/>
          <w:i w:val="0"/>
          <w:color w:val="1B1537"/>
          <w:sz w:val="18"/>
        </w:rPr>
        <w:t>Sí</w:t>
      </w:r>
      <w:r>
        <w:rPr>
          <w:rFonts w:ascii="Arial" w:hAnsi="Arial" w:eastAsia="Arial"/>
          <w:b w:val="0"/>
          <w:i w:val="0"/>
          <w:color w:val="1B1537"/>
          <w:sz w:val="18"/>
        </w:rPr>
        <w:t xml:space="preserve"> o </w:t>
      </w:r>
      <w:r>
        <w:rPr>
          <w:rFonts w:ascii="Arial" w:hAnsi="Arial" w:eastAsia="Arial"/>
          <w:b/>
          <w:i w:val="0"/>
          <w:color w:val="1B1537"/>
          <w:sz w:val="18"/>
        </w:rPr>
        <w:t>No</w:t>
      </w:r>
      <w:r>
        <w:rPr>
          <w:rFonts w:ascii="Arial" w:hAnsi="Arial" w:eastAsia="Arial"/>
          <w:b w:val="0"/>
          <w:i w:val="0"/>
          <w:color w:val="1B1537"/>
          <w:sz w:val="18"/>
        </w:rPr>
        <w:t xml:space="preserve"> en cada medida. Por cada «No», anota quién se hace cargo y en qué plazo. Repite la revisión cada ________ meses (recomendamos dos veces al año) y guarda cada versión completada: es tu evidencia.</w:t>
      </w:r>
    </w:p>
    <w:tbl>
      <w:tblPr>
        <w:tblW w:type="auto" w:w="0"/>
        <w:jc w:val="left"/>
        <w:tblLayout w:type="fixed"/>
        <w:tblLook w:firstColumn="1" w:firstRow="1" w:lastColumn="0" w:lastRow="0" w:noHBand="0" w:noVBand="1" w:val="04A0"/>
      </w:tblPr>
      <w:tblGrid>
        <w:gridCol w:w="7569"/>
        <w:gridCol w:w="2523"/>
      </w:tblGrid>
      <w:tr>
        <w:trPr>
          <w:trHeight w:val="624" w:hRule="atLeast"/>
        </w:trPr>
        <w:tc>
          <w:tcPr>
            <w:tcW w:type="dxa" w:w="7569"/>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ESTABLECIMIENTO</w:t>
            </w:r>
          </w:p>
        </w:tc>
        <w:tc>
          <w:tcPr>
            <w:tcW w:type="dxa" w:w="2523"/>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FECHA</w:t>
            </w:r>
          </w:p>
        </w:tc>
      </w:tr>
    </w:tbl>
    <w:p>
      <w:pPr>
        <w:spacing w:after="0"/>
      </w:pPr>
    </w:p>
    <w:tbl>
      <w:tblPr>
        <w:tblW w:type="auto" w:w="0"/>
        <w:jc w:val="left"/>
        <w:tblLayout w:type="fixed"/>
        <w:tblLook w:firstColumn="1" w:firstRow="1" w:lastColumn="0" w:lastRow="0" w:noHBand="0" w:noVBand="1" w:val="04A0"/>
      </w:tblPr>
      <w:tblGrid>
        <w:gridCol w:w="7569"/>
        <w:gridCol w:w="2523"/>
      </w:tblGrid>
      <w:tr>
        <w:trPr>
          <w:trHeight w:val="624" w:hRule="atLeast"/>
        </w:trPr>
        <w:tc>
          <w:tcPr>
            <w:tcW w:type="dxa" w:w="7569"/>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COMPLETADO POR (NOMBRE Y CARGO)</w:t>
            </w:r>
          </w:p>
        </w:tc>
        <w:tc>
          <w:tcPr>
            <w:tcW w:type="dxa" w:w="2523"/>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PRÓXIMA REVISIÓN</w:t>
            </w:r>
          </w:p>
        </w:tc>
      </w:tr>
    </w:tbl>
    <w:p>
      <w:pPr>
        <w:spacing w:after="0"/>
      </w:pPr>
    </w:p>
    <w:p>
      <w:pPr>
        <w:spacing w:before="160" w:after="80" w:line="276" w:lineRule="auto"/>
      </w:pPr>
      <w:r>
        <w:rPr>
          <w:rFonts w:ascii="Arial" w:hAnsi="Arial" w:eastAsia="Arial"/>
          <w:b/>
          <w:i w:val="0"/>
          <w:color w:val="6848DB"/>
          <w:sz w:val="22"/>
        </w:rPr>
        <w:t>1. Organización</w:t>
      </w:r>
    </w:p>
    <w:tbl>
      <w:tblPr>
        <w:tblW w:type="auto" w:w="0"/>
        <w:jc w:val="left"/>
        <w:tblLayout w:type="fixed"/>
        <w:tblLook w:firstColumn="1" w:firstRow="1" w:lastColumn="0" w:lastRow="0" w:noHBand="0" w:noVBand="1" w:val="04A0"/>
      </w:tblPr>
      <w:tblGrid>
        <w:gridCol w:w="6264"/>
        <w:gridCol w:w="638"/>
        <w:gridCol w:w="638"/>
        <w:gridCol w:w="2552"/>
      </w:tblGrid>
      <w:tr>
        <w:trPr>
          <w:trHeight w:val="340" w:hRule="atLeast"/>
          <w:tblHeader/>
        </w:trPr>
        <w:tc>
          <w:tcPr>
            <w:tcW w:type="dxa" w:w="6264"/>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Medida</w:t>
            </w:r>
          </w:p>
        </w:tc>
        <w:tc>
          <w:tcPr>
            <w:tcW w:type="dxa" w:w="638"/>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Sí</w:t>
            </w:r>
          </w:p>
        </w:tc>
        <w:tc>
          <w:tcPr>
            <w:tcW w:type="dxa" w:w="638"/>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No</w:t>
            </w:r>
          </w:p>
        </w:tc>
        <w:tc>
          <w:tcPr>
            <w:tcW w:type="dxa" w:w="2552"/>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Responsable y plazo</w:t>
            </w:r>
          </w:p>
        </w:tc>
      </w:tr>
      <w:tr>
        <w:trPr>
          <w:trHeight w:val="369" w:hRule="atLeast"/>
        </w:trPr>
        <w:tc>
          <w:tcPr>
            <w:tcW w:type="dxa" w:w="626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Hay un(a) coordinador(a) de protección de datos, designado(a) por escrito: ________.</w:t>
            </w:r>
          </w:p>
        </w:tc>
        <w:tc>
          <w:tcPr>
            <w:tcW w:type="dxa" w:w="63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63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552"/>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626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La residencia tiene una política de protección de datos (MACA-DAT-01) aprobada y conocida por el equipo.</w:t>
            </w:r>
          </w:p>
        </w:tc>
        <w:tc>
          <w:tcPr>
            <w:tcW w:type="dxa" w:w="63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63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2552"/>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626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La política está a disposición del público, con fecha y versión, en el sitio web de la residencia o en otro medio equivalente.</w:t>
            </w:r>
          </w:p>
        </w:tc>
        <w:tc>
          <w:tcPr>
            <w:tcW w:type="dxa" w:w="63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63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552"/>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626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Existe un registro de actividades de tratamiento (MACA-DAT-07), revisado en los últimos 12 meses.</w:t>
            </w:r>
          </w:p>
        </w:tc>
        <w:tc>
          <w:tcPr>
            <w:tcW w:type="dxa" w:w="63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63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2552"/>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626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Se revisó con el asesor si corresponde una evaluación de impacto en protección de datos (por ejemplo, por tratar datos de salud sin consentimiento).</w:t>
            </w:r>
          </w:p>
        </w:tc>
        <w:tc>
          <w:tcPr>
            <w:tcW w:type="dxa" w:w="63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63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552"/>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626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Todo el equipo recibió capacitación en protección de datos este año, con registro firmado.</w:t>
            </w:r>
          </w:p>
        </w:tc>
        <w:tc>
          <w:tcPr>
            <w:tcW w:type="dxa" w:w="63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63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2552"/>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626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Todo el personal, incluidos reemplazos, practicantes y voluntarios, firmó el compromiso de confidencialidad (MACA-DAT-04).</w:t>
            </w:r>
          </w:p>
        </w:tc>
        <w:tc>
          <w:tcPr>
            <w:tcW w:type="dxa" w:w="63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63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552"/>
            <w:tcBorders>
              <w:top w:val="single" w:sz="4" w:color="C9C4E3"/>
              <w:left w:val="single" w:sz="4" w:color="C9C4E3"/>
              <w:bottom w:val="single" w:sz="4" w:color="C9C4E3"/>
              <w:right w:val="single" w:sz="4" w:color="C9C4E3"/>
            </w:tcBorders>
            <w:vAlign w:val="center"/>
          </w:tcPr>
          <w:p>
            <w:pPr>
              <w:spacing w:before="20" w:after="20" w:line="240" w:lineRule="auto"/>
            </w:pPr>
          </w:p>
        </w:tc>
      </w:tr>
    </w:tbl>
    <w:p>
      <w:pPr>
        <w:spacing w:after="40"/>
      </w:pPr>
    </w:p>
    <w:p>
      <w:pPr>
        <w:spacing w:before="160" w:after="80" w:line="276" w:lineRule="auto"/>
      </w:pPr>
      <w:r>
        <w:rPr>
          <w:rFonts w:ascii="Arial" w:hAnsi="Arial" w:eastAsia="Arial"/>
          <w:b/>
          <w:i w:val="0"/>
          <w:color w:val="6848DB"/>
          <w:sz w:val="22"/>
        </w:rPr>
        <w:t>2. Documentos en papel</w:t>
      </w:r>
    </w:p>
    <w:tbl>
      <w:tblPr>
        <w:tblW w:type="auto" w:w="0"/>
        <w:jc w:val="left"/>
        <w:tblLayout w:type="fixed"/>
        <w:tblLook w:firstColumn="1" w:firstRow="1" w:lastColumn="0" w:lastRow="0" w:noHBand="0" w:noVBand="1" w:val="04A0"/>
      </w:tblPr>
      <w:tblGrid>
        <w:gridCol w:w="6264"/>
        <w:gridCol w:w="638"/>
        <w:gridCol w:w="638"/>
        <w:gridCol w:w="2552"/>
      </w:tblGrid>
      <w:tr>
        <w:trPr>
          <w:trHeight w:val="340" w:hRule="atLeast"/>
          <w:tblHeader/>
        </w:trPr>
        <w:tc>
          <w:tcPr>
            <w:tcW w:type="dxa" w:w="6264"/>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Medida</w:t>
            </w:r>
          </w:p>
        </w:tc>
        <w:tc>
          <w:tcPr>
            <w:tcW w:type="dxa" w:w="638"/>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Sí</w:t>
            </w:r>
          </w:p>
        </w:tc>
        <w:tc>
          <w:tcPr>
            <w:tcW w:type="dxa" w:w="638"/>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No</w:t>
            </w:r>
          </w:p>
        </w:tc>
        <w:tc>
          <w:tcPr>
            <w:tcW w:type="dxa" w:w="2552"/>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Responsable y plazo</w:t>
            </w:r>
          </w:p>
        </w:tc>
      </w:tr>
      <w:tr>
        <w:trPr>
          <w:trHeight w:val="369" w:hRule="atLeast"/>
        </w:trPr>
        <w:tc>
          <w:tcPr>
            <w:tcW w:type="dxa" w:w="626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Las carpetas personales se guardan bajo llave, y la llave la tienen solo personas autorizadas.</w:t>
            </w:r>
          </w:p>
        </w:tc>
        <w:tc>
          <w:tcPr>
            <w:tcW w:type="dxa" w:w="63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63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552"/>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626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Escritorio limpio: al terminar el turno no quedan carpetas, recetas ni listados a la vista.</w:t>
            </w:r>
          </w:p>
        </w:tc>
        <w:tc>
          <w:tcPr>
            <w:tcW w:type="dxa" w:w="63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63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2552"/>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626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Las pizarras y diarios murales de pasillos y espacios comunes no muestran diagnósticos, medicamentos ni otros datos de salud.</w:t>
            </w:r>
          </w:p>
        </w:tc>
        <w:tc>
          <w:tcPr>
            <w:tcW w:type="dxa" w:w="63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63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552"/>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626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El préstamo y la salida de carpetas quedan anotados en el registro de acceso (MACA-DAT-09).</w:t>
            </w:r>
          </w:p>
        </w:tc>
        <w:tc>
          <w:tcPr>
            <w:tcW w:type="dxa" w:w="63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63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2552"/>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626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Los papeles con datos personales se eliminan con trituradora o empresa certificada, nunca en la basura común.</w:t>
            </w:r>
          </w:p>
        </w:tc>
        <w:tc>
          <w:tcPr>
            <w:tcW w:type="dxa" w:w="63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63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552"/>
            <w:tcBorders>
              <w:top w:val="single" w:sz="4" w:color="C9C4E3"/>
              <w:left w:val="single" w:sz="4" w:color="C9C4E3"/>
              <w:bottom w:val="single" w:sz="4" w:color="C9C4E3"/>
              <w:right w:val="single" w:sz="4" w:color="C9C4E3"/>
            </w:tcBorders>
            <w:vAlign w:val="center"/>
          </w:tcPr>
          <w:p>
            <w:pPr>
              <w:spacing w:before="20" w:after="20" w:line="240" w:lineRule="auto"/>
            </w:pPr>
          </w:p>
        </w:tc>
      </w:tr>
    </w:tbl>
    <w:p>
      <w:pPr>
        <w:spacing w:after="40"/>
      </w:pPr>
    </w:p>
    <w:p>
      <w:pPr>
        <w:spacing w:before="160" w:after="80" w:line="276" w:lineRule="auto"/>
      </w:pPr>
      <w:r>
        <w:rPr>
          <w:rFonts w:ascii="Arial" w:hAnsi="Arial" w:eastAsia="Arial"/>
          <w:b/>
          <w:i w:val="0"/>
          <w:color w:val="6848DB"/>
          <w:sz w:val="22"/>
        </w:rPr>
        <w:t>3. Equipos y cuentas</w:t>
      </w:r>
    </w:p>
    <w:tbl>
      <w:tblPr>
        <w:tblW w:type="auto" w:w="0"/>
        <w:jc w:val="left"/>
        <w:tblLayout w:type="fixed"/>
        <w:tblLook w:firstColumn="1" w:firstRow="1" w:lastColumn="0" w:lastRow="0" w:noHBand="0" w:noVBand="1" w:val="04A0"/>
      </w:tblPr>
      <w:tblGrid>
        <w:gridCol w:w="6264"/>
        <w:gridCol w:w="638"/>
        <w:gridCol w:w="638"/>
        <w:gridCol w:w="2552"/>
      </w:tblGrid>
      <w:tr>
        <w:trPr>
          <w:trHeight w:val="340" w:hRule="atLeast"/>
          <w:tblHeader/>
        </w:trPr>
        <w:tc>
          <w:tcPr>
            <w:tcW w:type="dxa" w:w="6264"/>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Medida</w:t>
            </w:r>
          </w:p>
        </w:tc>
        <w:tc>
          <w:tcPr>
            <w:tcW w:type="dxa" w:w="638"/>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Sí</w:t>
            </w:r>
          </w:p>
        </w:tc>
        <w:tc>
          <w:tcPr>
            <w:tcW w:type="dxa" w:w="638"/>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No</w:t>
            </w:r>
          </w:p>
        </w:tc>
        <w:tc>
          <w:tcPr>
            <w:tcW w:type="dxa" w:w="2552"/>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Responsable y plazo</w:t>
            </w:r>
          </w:p>
        </w:tc>
      </w:tr>
      <w:tr>
        <w:trPr>
          <w:trHeight w:val="369" w:hRule="atLeast"/>
        </w:trPr>
        <w:tc>
          <w:tcPr>
            <w:tcW w:type="dxa" w:w="626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Cada persona tiene su propia clave en computadores y sistemas. Nadie comparte claves ni las deja anotadas a la vista.</w:t>
            </w:r>
          </w:p>
        </w:tc>
        <w:tc>
          <w:tcPr>
            <w:tcW w:type="dxa" w:w="63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63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552"/>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626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Los computadores se bloquean solos tras ________ minutos sin uso, y el equipo los bloquea al alejarse.</w:t>
            </w:r>
          </w:p>
        </w:tc>
        <w:tc>
          <w:tcPr>
            <w:tcW w:type="dxa" w:w="63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63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2552"/>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626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Todos los equipos tienen antivirus activo y actualizaciones automáticas.</w:t>
            </w:r>
          </w:p>
        </w:tc>
        <w:tc>
          <w:tcPr>
            <w:tcW w:type="dxa" w:w="63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63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552"/>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626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El correo y los sistemas con datos de residentes usan verificación en dos pasos.</w:t>
            </w:r>
          </w:p>
        </w:tc>
        <w:tc>
          <w:tcPr>
            <w:tcW w:type="dxa" w:w="63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63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2552"/>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626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Hay respaldo periódico de la información, y se probó recuperarlo en los últimos ________ meses.</w:t>
            </w:r>
          </w:p>
        </w:tc>
        <w:tc>
          <w:tcPr>
            <w:tcW w:type="dxa" w:w="63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63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552"/>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626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El wifi de visitas está separado de la red que usan los equipos de la residencia.</w:t>
            </w:r>
          </w:p>
        </w:tc>
        <w:tc>
          <w:tcPr>
            <w:tcW w:type="dxa" w:w="63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63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2552"/>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626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Cuando un trabajador deja la residencia, se le quitan sus claves y accesos el mismo día.</w:t>
            </w:r>
          </w:p>
        </w:tc>
        <w:tc>
          <w:tcPr>
            <w:tcW w:type="dxa" w:w="63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63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552"/>
            <w:tcBorders>
              <w:top w:val="single" w:sz="4" w:color="C9C4E3"/>
              <w:left w:val="single" w:sz="4" w:color="C9C4E3"/>
              <w:bottom w:val="single" w:sz="4" w:color="C9C4E3"/>
              <w:right w:val="single" w:sz="4" w:color="C9C4E3"/>
            </w:tcBorders>
            <w:vAlign w:val="center"/>
          </w:tcPr>
          <w:p>
            <w:pPr>
              <w:spacing w:before="20" w:after="20" w:line="240" w:lineRule="auto"/>
            </w:pPr>
          </w:p>
        </w:tc>
      </w:tr>
    </w:tbl>
    <w:p>
      <w:pPr>
        <w:spacing w:after="40"/>
      </w:pPr>
    </w:p>
    <w:p>
      <w:pPr>
        <w:spacing w:before="160" w:after="80" w:line="276" w:lineRule="auto"/>
      </w:pPr>
      <w:r>
        <w:rPr>
          <w:rFonts w:ascii="Arial" w:hAnsi="Arial" w:eastAsia="Arial"/>
          <w:b/>
          <w:i w:val="0"/>
          <w:color w:val="6848DB"/>
          <w:sz w:val="22"/>
        </w:rPr>
        <w:t>4. Celulares y mensajería</w:t>
      </w:r>
    </w:p>
    <w:tbl>
      <w:tblPr>
        <w:tblW w:type="auto" w:w="0"/>
        <w:jc w:val="left"/>
        <w:tblLayout w:type="fixed"/>
        <w:tblLook w:firstColumn="1" w:firstRow="1" w:lastColumn="0" w:lastRow="0" w:noHBand="0" w:noVBand="1" w:val="04A0"/>
      </w:tblPr>
      <w:tblGrid>
        <w:gridCol w:w="6264"/>
        <w:gridCol w:w="638"/>
        <w:gridCol w:w="638"/>
        <w:gridCol w:w="2552"/>
      </w:tblGrid>
      <w:tr>
        <w:trPr>
          <w:trHeight w:val="340" w:hRule="atLeast"/>
          <w:tblHeader/>
        </w:trPr>
        <w:tc>
          <w:tcPr>
            <w:tcW w:type="dxa" w:w="6264"/>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Medida</w:t>
            </w:r>
          </w:p>
        </w:tc>
        <w:tc>
          <w:tcPr>
            <w:tcW w:type="dxa" w:w="638"/>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Sí</w:t>
            </w:r>
          </w:p>
        </w:tc>
        <w:tc>
          <w:tcPr>
            <w:tcW w:type="dxa" w:w="638"/>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No</w:t>
            </w:r>
          </w:p>
        </w:tc>
        <w:tc>
          <w:tcPr>
            <w:tcW w:type="dxa" w:w="2552"/>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Responsable y plazo</w:t>
            </w:r>
          </w:p>
        </w:tc>
      </w:tr>
      <w:tr>
        <w:trPr>
          <w:trHeight w:val="369" w:hRule="atLeast"/>
        </w:trPr>
        <w:tc>
          <w:tcPr>
            <w:tcW w:type="dxa" w:w="626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El personal no guarda fotos de residentes en sus celulares personales.</w:t>
            </w:r>
          </w:p>
        </w:tc>
        <w:tc>
          <w:tcPr>
            <w:tcW w:type="dxa" w:w="63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63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552"/>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626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Los grupos de WhatsApp del equipo y con familias no se usan para datos clínicos ni diagnósticos.</w:t>
            </w:r>
          </w:p>
        </w:tc>
        <w:tc>
          <w:tcPr>
            <w:tcW w:type="dxa" w:w="63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63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2552"/>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626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El celular institucional tiene bloqueo con clave o huella y se puede localizar o borrar a distancia.</w:t>
            </w:r>
          </w:p>
        </w:tc>
        <w:tc>
          <w:tcPr>
            <w:tcW w:type="dxa" w:w="63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63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552"/>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626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La información de salud se envía a la familia solo por el canal acordado y a la persona autorizada.</w:t>
            </w:r>
          </w:p>
        </w:tc>
        <w:tc>
          <w:tcPr>
            <w:tcW w:type="dxa" w:w="63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63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2552"/>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bl>
    <w:p>
      <w:pPr>
        <w:spacing w:after="40"/>
      </w:pPr>
    </w:p>
    <w:p>
      <w:pPr>
        <w:spacing w:before="160" w:after="80" w:line="276" w:lineRule="auto"/>
      </w:pPr>
      <w:r>
        <w:rPr>
          <w:rFonts w:ascii="Arial" w:hAnsi="Arial" w:eastAsia="Arial"/>
          <w:b/>
          <w:i w:val="0"/>
          <w:color w:val="6848DB"/>
          <w:sz w:val="22"/>
        </w:rPr>
        <w:t>5. Proveedores</w:t>
      </w:r>
    </w:p>
    <w:tbl>
      <w:tblPr>
        <w:tblW w:type="auto" w:w="0"/>
        <w:jc w:val="left"/>
        <w:tblLayout w:type="fixed"/>
        <w:tblLook w:firstColumn="1" w:firstRow="1" w:lastColumn="0" w:lastRow="0" w:noHBand="0" w:noVBand="1" w:val="04A0"/>
      </w:tblPr>
      <w:tblGrid>
        <w:gridCol w:w="6264"/>
        <w:gridCol w:w="638"/>
        <w:gridCol w:w="638"/>
        <w:gridCol w:w="2552"/>
      </w:tblGrid>
      <w:tr>
        <w:trPr>
          <w:trHeight w:val="340" w:hRule="atLeast"/>
          <w:tblHeader/>
        </w:trPr>
        <w:tc>
          <w:tcPr>
            <w:tcW w:type="dxa" w:w="6264"/>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Medida</w:t>
            </w:r>
          </w:p>
        </w:tc>
        <w:tc>
          <w:tcPr>
            <w:tcW w:type="dxa" w:w="638"/>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Sí</w:t>
            </w:r>
          </w:p>
        </w:tc>
        <w:tc>
          <w:tcPr>
            <w:tcW w:type="dxa" w:w="638"/>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No</w:t>
            </w:r>
          </w:p>
        </w:tc>
        <w:tc>
          <w:tcPr>
            <w:tcW w:type="dxa" w:w="2552"/>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Responsable y plazo</w:t>
            </w:r>
          </w:p>
        </w:tc>
      </w:tr>
      <w:tr>
        <w:trPr>
          <w:trHeight w:val="369" w:hRule="atLeast"/>
        </w:trPr>
        <w:tc>
          <w:tcPr>
            <w:tcW w:type="dxa" w:w="626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Los proveedores que tratan datos por encargo (software, contabilidad, informática, nube, cámaras) firmaron un contrato o anexo de encargo (MACA-DAT-06).</w:t>
            </w:r>
          </w:p>
        </w:tc>
        <w:tc>
          <w:tcPr>
            <w:tcW w:type="dxa" w:w="63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63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552"/>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626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Se sabe en qué país guarda los datos cada proveedor y, si es fuera de Chile, hay garantías adecuadas para esa transferencia.</w:t>
            </w:r>
          </w:p>
        </w:tc>
        <w:tc>
          <w:tcPr>
            <w:tcW w:type="dxa" w:w="63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63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2552"/>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626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El software de la residencia tiene perfiles por rol: cada persona ve solo lo que necesita para su trabajo.</w:t>
            </w:r>
          </w:p>
        </w:tc>
        <w:tc>
          <w:tcPr>
            <w:tcW w:type="dxa" w:w="63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63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552"/>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626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El software guarda un registro de accesos: quién entró, cuándo y qué revisó (Decreto 41 de 2012, art. 9).</w:t>
            </w:r>
          </w:p>
        </w:tc>
        <w:tc>
          <w:tcPr>
            <w:tcW w:type="dxa" w:w="63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63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2552"/>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bl>
    <w:p>
      <w:pPr>
        <w:spacing w:after="40"/>
      </w:pPr>
    </w:p>
    <w:p>
      <w:pPr>
        <w:spacing w:before="160" w:after="80" w:line="276" w:lineRule="auto"/>
      </w:pPr>
      <w:r>
        <w:rPr>
          <w:rFonts w:ascii="Arial" w:hAnsi="Arial" w:eastAsia="Arial"/>
          <w:b/>
          <w:i w:val="0"/>
          <w:color w:val="6848DB"/>
          <w:sz w:val="22"/>
        </w:rPr>
        <w:t>6. Derechos y brechas</w:t>
      </w:r>
    </w:p>
    <w:tbl>
      <w:tblPr>
        <w:tblW w:type="auto" w:w="0"/>
        <w:jc w:val="left"/>
        <w:tblLayout w:type="fixed"/>
        <w:tblLook w:firstColumn="1" w:firstRow="1" w:lastColumn="0" w:lastRow="0" w:noHBand="0" w:noVBand="1" w:val="04A0"/>
      </w:tblPr>
      <w:tblGrid>
        <w:gridCol w:w="6264"/>
        <w:gridCol w:w="638"/>
        <w:gridCol w:w="638"/>
        <w:gridCol w:w="2552"/>
      </w:tblGrid>
      <w:tr>
        <w:trPr>
          <w:trHeight w:val="340" w:hRule="atLeast"/>
          <w:tblHeader/>
        </w:trPr>
        <w:tc>
          <w:tcPr>
            <w:tcW w:type="dxa" w:w="6264"/>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Medida</w:t>
            </w:r>
          </w:p>
        </w:tc>
        <w:tc>
          <w:tcPr>
            <w:tcW w:type="dxa" w:w="638"/>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Sí</w:t>
            </w:r>
          </w:p>
        </w:tc>
        <w:tc>
          <w:tcPr>
            <w:tcW w:type="dxa" w:w="638"/>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No</w:t>
            </w:r>
          </w:p>
        </w:tc>
        <w:tc>
          <w:tcPr>
            <w:tcW w:type="dxa" w:w="2552"/>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Responsable y plazo</w:t>
            </w:r>
          </w:p>
        </w:tc>
      </w:tr>
      <w:tr>
        <w:trPr>
          <w:trHeight w:val="369" w:hRule="atLeast"/>
        </w:trPr>
        <w:tc>
          <w:tcPr>
            <w:tcW w:type="dxa" w:w="626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Hay un procedimiento para responder solicitudes de acceso, rectificación, supresión, oposición, portabilidad y bloqueo en 30 días corridos (bloqueo: 2 días hábiles), con un responsable y un formulario (MACA-DAT-05).</w:t>
            </w:r>
          </w:p>
        </w:tc>
        <w:tc>
          <w:tcPr>
            <w:tcW w:type="dxa" w:w="63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63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552"/>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626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Existe un protocolo ante brechas de seguridad (MACA-DAT-08): el equipo sabe a quién avisar y la dirección sabe cuándo reportar a la Agencia y avisar a cada persona afectada.</w:t>
            </w:r>
          </w:p>
        </w:tc>
        <w:tc>
          <w:tcPr>
            <w:tcW w:type="dxa" w:w="63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63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2552"/>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626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Se lleva un registro de incidentes, que incluye las brechas que no se comunicaron a la Agencia.</w:t>
            </w:r>
          </w:p>
        </w:tc>
        <w:tc>
          <w:tcPr>
            <w:tcW w:type="dxa" w:w="63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63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552"/>
            <w:tcBorders>
              <w:top w:val="single" w:sz="4" w:color="C9C4E3"/>
              <w:left w:val="single" w:sz="4" w:color="C9C4E3"/>
              <w:bottom w:val="single" w:sz="4" w:color="C9C4E3"/>
              <w:right w:val="single" w:sz="4" w:color="C9C4E3"/>
            </w:tcBorders>
            <w:vAlign w:val="center"/>
          </w:tcPr>
          <w:p>
            <w:pPr>
              <w:spacing w:before="20" w:after="20" w:line="240" w:lineRule="auto"/>
            </w:pPr>
          </w:p>
        </w:tc>
      </w:tr>
    </w:tbl>
    <w:p>
      <w:pPr>
        <w:spacing w:after="40"/>
      </w:pPr>
    </w:p>
    <w:p>
      <w:pPr>
        <w:spacing w:before="160" w:after="80" w:line="276" w:lineRule="auto"/>
      </w:pPr>
      <w:r>
        <w:rPr>
          <w:rFonts w:ascii="Arial" w:hAnsi="Arial" w:eastAsia="Arial"/>
          <w:b/>
          <w:i w:val="0"/>
          <w:color w:val="6848DB"/>
          <w:sz w:val="22"/>
        </w:rPr>
        <w:t>7. Residentes y familias</w:t>
      </w:r>
    </w:p>
    <w:tbl>
      <w:tblPr>
        <w:tblW w:type="auto" w:w="0"/>
        <w:jc w:val="left"/>
        <w:tblLayout w:type="fixed"/>
        <w:tblLook w:firstColumn="1" w:firstRow="1" w:lastColumn="0" w:lastRow="0" w:noHBand="0" w:noVBand="1" w:val="04A0"/>
      </w:tblPr>
      <w:tblGrid>
        <w:gridCol w:w="6264"/>
        <w:gridCol w:w="638"/>
        <w:gridCol w:w="638"/>
        <w:gridCol w:w="2552"/>
      </w:tblGrid>
      <w:tr>
        <w:trPr>
          <w:trHeight w:val="340" w:hRule="atLeast"/>
          <w:tblHeader/>
        </w:trPr>
        <w:tc>
          <w:tcPr>
            <w:tcW w:type="dxa" w:w="6264"/>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Medida</w:t>
            </w:r>
          </w:p>
        </w:tc>
        <w:tc>
          <w:tcPr>
            <w:tcW w:type="dxa" w:w="638"/>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Sí</w:t>
            </w:r>
          </w:p>
        </w:tc>
        <w:tc>
          <w:tcPr>
            <w:tcW w:type="dxa" w:w="638"/>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No</w:t>
            </w:r>
          </w:p>
        </w:tc>
        <w:tc>
          <w:tcPr>
            <w:tcW w:type="dxa" w:w="2552"/>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Responsable y plazo</w:t>
            </w:r>
          </w:p>
        </w:tc>
      </w:tr>
      <w:tr>
        <w:trPr>
          <w:trHeight w:val="369" w:hRule="atLeast"/>
        </w:trPr>
        <w:tc>
          <w:tcPr>
            <w:tcW w:type="dxa" w:w="626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Cada residente o su representante recibió información sobre qué datos se usan y para qué, y firmó las autorizaciones que correspondan (MACA-DAT-02).</w:t>
            </w:r>
          </w:p>
        </w:tc>
        <w:tc>
          <w:tcPr>
            <w:tcW w:type="dxa" w:w="63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63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552"/>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626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Hay una autorización de uso de imagen firmada antes de publicar fotos (MACA-DAT-03), y se respeta a quien no autoriza.</w:t>
            </w:r>
          </w:p>
        </w:tc>
        <w:tc>
          <w:tcPr>
            <w:tcW w:type="dxa" w:w="63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63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2552"/>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6264"/>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La información de salud se entrega solo al residente, a su representante o a las personas que él autorizó.</w:t>
            </w:r>
          </w:p>
        </w:tc>
        <w:tc>
          <w:tcPr>
            <w:tcW w:type="dxa" w:w="63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63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552"/>
            <w:tcBorders>
              <w:top w:val="single" w:sz="4" w:color="C9C4E3"/>
              <w:left w:val="single" w:sz="4" w:color="C9C4E3"/>
              <w:bottom w:val="single" w:sz="4" w:color="C9C4E3"/>
              <w:right w:val="single" w:sz="4" w:color="C9C4E3"/>
            </w:tcBorders>
            <w:vAlign w:val="center"/>
          </w:tcPr>
          <w:p>
            <w:pPr>
              <w:spacing w:before="20" w:after="20" w:line="240" w:lineRule="auto"/>
            </w:pPr>
          </w:p>
        </w:tc>
      </w:tr>
    </w:tbl>
    <w:p>
      <w:pPr>
        <w:spacing w:after="40"/>
      </w:pPr>
    </w:p>
    <w:p>
      <w:pPr>
        <w:spacing w:before="160" w:after="80" w:line="276" w:lineRule="auto"/>
      </w:pPr>
      <w:r>
        <w:rPr>
          <w:rFonts w:ascii="Arial" w:hAnsi="Arial" w:eastAsia="Arial"/>
          <w:b/>
          <w:i w:val="0"/>
          <w:color w:val="6848DB"/>
          <w:sz w:val="22"/>
        </w:rPr>
        <w:t>Resultado</w:t>
      </w:r>
    </w:p>
    <w:p>
      <w:pPr>
        <w:spacing w:before="0" w:after="80" w:line="276" w:lineRule="auto"/>
      </w:pPr>
      <w:r>
        <w:rPr>
          <w:rFonts w:ascii="Arial" w:hAnsi="Arial" w:eastAsia="Arial"/>
          <w:b w:val="0"/>
          <w:i w:val="0"/>
          <w:color w:val="1B1537"/>
          <w:sz w:val="18"/>
        </w:rPr>
        <w:t>Cuenta las medidas marcadas con «Sí» y elige las tres que vas a resolver primero.</w:t>
      </w:r>
    </w:p>
    <w:tbl>
      <w:tblPr>
        <w:tblW w:type="auto" w:w="0"/>
        <w:jc w:val="left"/>
        <w:tblLayout w:type="fixed"/>
        <w:tblLook w:firstColumn="1" w:firstRow="1" w:lastColumn="0" w:lastRow="0" w:noHBand="0" w:noVBand="1" w:val="04A0"/>
      </w:tblPr>
      <w:tblGrid>
        <w:gridCol w:w="2883"/>
        <w:gridCol w:w="7208"/>
      </w:tblGrid>
      <w:tr>
        <w:trPr>
          <w:trHeight w:val="624" w:hRule="atLeast"/>
        </w:trPr>
        <w:tc>
          <w:tcPr>
            <w:tcW w:type="dxa" w:w="2883"/>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MEDIDAS CUMPLIDAS (DE 33)</w:t>
            </w:r>
          </w:p>
        </w:tc>
        <w:tc>
          <w:tcPr>
            <w:tcW w:type="dxa" w:w="7208"/>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TRES PRIORIDADES PARA LOS PRÓXIMOS TRES MESES</w:t>
            </w:r>
          </w:p>
        </w:tc>
      </w:tr>
    </w:tbl>
    <w:p>
      <w:pPr>
        <w:spacing w:after="0"/>
      </w:pPr>
    </w:p>
    <w:tbl>
      <w:tblPr>
        <w:tblW w:type="auto" w:w="0"/>
        <w:jc w:val="left"/>
        <w:tblLayout w:type="fixed"/>
        <w:tblLook w:firstColumn="1" w:firstRow="1" w:lastColumn="0" w:lastRow="0" w:noHBand="0" w:noVBand="1" w:val="04A0"/>
      </w:tblPr>
      <w:tblGrid>
        <w:gridCol w:w="10091"/>
      </w:tblGrid>
      <w:tr>
        <w:trPr>
          <w:trHeight w:val="624" w:hRule="atLeast"/>
        </w:trPr>
        <w:tc>
          <w:tcPr>
            <w:tcW w:type="dxa" w:w="10091"/>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r>
          </w:p>
        </w:tc>
      </w:tr>
    </w:tbl>
    <w:p>
      <w:pPr>
        <w:spacing w:after="0"/>
      </w:pPr>
    </w:p>
    <w:tbl>
      <w:tblPr>
        <w:tblW w:type="auto" w:w="0"/>
        <w:jc w:val="left"/>
        <w:tblLayout w:type="fixed"/>
        <w:tblLook w:firstColumn="1" w:firstRow="1" w:lastColumn="0" w:lastRow="0" w:noHBand="0" w:noVBand="1" w:val="04A0"/>
      </w:tblPr>
      <w:tblGrid>
        <w:gridCol w:w="10091"/>
      </w:tblGrid>
      <w:tr>
        <w:trPr>
          <w:trHeight w:val="624" w:hRule="atLeast"/>
        </w:trPr>
        <w:tc>
          <w:tcPr>
            <w:tcW w:type="dxa" w:w="10091"/>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r>
          </w:p>
        </w:tc>
      </w:tr>
    </w:tbl>
    <w:p>
      <w:pPr>
        <w:spacing w:after="0"/>
      </w:pPr>
    </w:p>
    <w:tbl>
      <w:tblPr>
        <w:tblW w:type="auto" w:w="0"/>
        <w:jc w:val="left"/>
        <w:tblLayout w:type="fixed"/>
        <w:tblLook w:firstColumn="1" w:firstRow="1" w:lastColumn="0" w:lastRow="0" w:noHBand="0" w:noVBand="1" w:val="04A0"/>
      </w:tblPr>
      <w:tblGrid>
        <w:gridCol w:w="3364"/>
        <w:gridCol w:w="3364"/>
        <w:gridCol w:w="3364"/>
      </w:tblGrid>
      <w:tr>
        <w:trPr>
          <w:trHeight w:val="794" w:hRule="atLeast"/>
        </w:trPr>
        <w:tc>
          <w:tcPr>
            <w:tcW w:type="dxa" w:w="3364"/>
            <w:tcBorders>
              <w:top w:val="nil"/>
              <w:left w:val="nil"/>
              <w:bottom w:val="single" w:sz="6" w:color="463F66"/>
              <w:right w:val="nil"/>
            </w:tcBorders>
            <w:vAlign w:val="center"/>
          </w:tcPr>
          <w:p/>
        </w:tc>
        <w:tc>
          <w:tcPr>
            <w:tcW w:type="dxa" w:w="3364"/>
            <w:tcBorders>
              <w:top w:val="nil"/>
              <w:left w:val="nil"/>
              <w:bottom w:val="single" w:sz="6" w:color="463F66"/>
              <w:right w:val="nil"/>
            </w:tcBorders>
            <w:vAlign w:val="center"/>
          </w:tcPr>
          <w:p/>
        </w:tc>
        <w:tc>
          <w:tcPr>
            <w:tcW w:type="dxa" w:w="3364"/>
            <w:tcBorders>
              <w:top w:val="nil"/>
              <w:left w:val="nil"/>
              <w:bottom w:val="single" w:sz="6" w:color="463F66"/>
              <w:right w:val="nil"/>
            </w:tcBorders>
            <w:vAlign w:val="center"/>
          </w:tcPr>
          <w:p/>
        </w:tc>
      </w:tr>
      <w:tr>
        <w:trPr>
          <w:trHeight w:val="340" w:hRule="atLeast"/>
        </w:trPr>
        <w:tc>
          <w:tcPr>
            <w:tcW w:type="dxa" w:w="3364"/>
            <w:tcBorders>
              <w:top w:val="nil"/>
              <w:left w:val="nil"/>
              <w:bottom w:val="nil"/>
              <w:right w:val="nil"/>
            </w:tcBorders>
            <w:vAlign w:val="center"/>
          </w:tcPr>
          <w:p>
            <w:r>
              <w:rPr>
                <w:rFonts w:ascii="Arial" w:hAnsi="Arial" w:eastAsia="Arial"/>
                <w:b w:val="0"/>
                <w:i w:val="0"/>
                <w:color w:val="6A6488"/>
                <w:sz w:val="14"/>
              </w:rPr>
              <w:t>Coordinador(a) de protección de datos</w:t>
            </w:r>
          </w:p>
        </w:tc>
        <w:tc>
          <w:tcPr>
            <w:tcW w:type="dxa" w:w="3364"/>
            <w:tcBorders>
              <w:top w:val="nil"/>
              <w:left w:val="nil"/>
              <w:bottom w:val="nil"/>
              <w:right w:val="nil"/>
            </w:tcBorders>
            <w:vAlign w:val="center"/>
          </w:tcPr>
          <w:p>
            <w:r>
              <w:rPr>
                <w:rFonts w:ascii="Arial" w:hAnsi="Arial" w:eastAsia="Arial"/>
                <w:b w:val="0"/>
                <w:i w:val="0"/>
                <w:color w:val="6A6488"/>
                <w:sz w:val="14"/>
              </w:rPr>
              <w:t>Director(a) técnico(a)</w:t>
            </w:r>
          </w:p>
        </w:tc>
        <w:tc>
          <w:tcPr>
            <w:tcW w:type="dxa" w:w="3364"/>
            <w:tcBorders>
              <w:top w:val="nil"/>
              <w:left w:val="nil"/>
              <w:bottom w:val="nil"/>
              <w:right w:val="nil"/>
            </w:tcBorders>
            <w:vAlign w:val="center"/>
          </w:tcPr>
          <w:p>
            <w:r>
              <w:rPr>
                <w:rFonts w:ascii="Arial" w:hAnsi="Arial" w:eastAsia="Arial"/>
                <w:b w:val="0"/>
                <w:i w:val="0"/>
                <w:color w:val="6A6488"/>
                <w:sz w:val="14"/>
              </w:rPr>
              <w:t>Fecha</w:t>
            </w:r>
          </w:p>
        </w:tc>
      </w:tr>
    </w:tbl>
    <w:p>
      <w:pPr>
        <w:spacing w:after="40"/>
      </w:pPr>
    </w:p>
    <w:tbl>
      <w:tblPr>
        <w:tblW w:type="auto" w:w="0"/>
        <w:jc w:val="left"/>
        <w:tblLayout w:type="fixed"/>
        <w:tblLook w:firstColumn="1" w:firstRow="1" w:lastColumn="0" w:lastRow="0" w:noHBand="0" w:noVBand="1" w:val="04A0"/>
      </w:tblPr>
      <w:tblGrid>
        <w:gridCol w:w="10091"/>
      </w:tblGrid>
      <w:tr>
        <w:tc>
          <w:tcPr>
            <w:tcW w:type="dxa" w:w="10091"/>
            <w:tcBorders>
              <w:top w:val="nil"/>
              <w:left w:val="single" w:sz="18" w:color="6848DB"/>
              <w:bottom w:val="nil"/>
              <w:right w:val="nil"/>
            </w:tcBorders>
            <w:shd w:val="clear" w:color="auto" w:fill="EFEDF9"/>
            <w:vAlign w:val="center"/>
          </w:tcPr>
          <w:p>
            <w:pPr>
              <w:spacing w:before="60" w:after="60" w:line="276" w:lineRule="auto"/>
            </w:pPr>
            <w:r>
              <w:rPr>
                <w:rFonts w:ascii="Arial" w:hAnsi="Arial" w:eastAsia="Arial"/>
                <w:b w:val="0"/>
                <w:i w:val="0"/>
                <w:color w:val="1B1537"/>
                <w:sz w:val="17"/>
              </w:rPr>
              <w:t xml:space="preserve">Haz también el </w:t>
            </w:r>
            <w:r>
              <w:rPr>
                <w:rFonts w:ascii="Arial" w:hAnsi="Arial" w:eastAsia="Arial"/>
                <w:b/>
                <w:i w:val="0"/>
                <w:color w:val="1B1537"/>
                <w:sz w:val="17"/>
              </w:rPr>
              <w:t>test de protección de datos de MACA en macainn.cl/recursos</w:t>
            </w:r>
            <w:r>
              <w:rPr>
                <w:rFonts w:ascii="Arial" w:hAnsi="Arial" w:eastAsia="Arial"/>
                <w:b w:val="0"/>
                <w:i w:val="0"/>
                <w:color w:val="1B1537"/>
                <w:sz w:val="17"/>
              </w:rPr>
              <w:t>: es gratis, no pide registro y te entrega un informe en PDF con lo que le falta a tu residencia.</w:t>
            </w:r>
          </w:p>
        </w:tc>
      </w:tr>
    </w:tbl>
    <w:p>
      <w:pPr>
        <w:spacing w:after="40"/>
      </w:pPr>
    </w:p>
    <w:sectPr w:rsidR="00FC693F" w:rsidRPr="0006063C" w:rsidSect="00034616">
      <w:headerReference w:type="default" r:id="rId9"/>
      <w:footerReference w:type="default" r:id="rId10"/>
      <w:pgSz w:w="11906" w:h="16838"/>
      <w:pgMar w:top="1247" w:right="907" w:bottom="1020" w:left="90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091" w:val="right"/>
      </w:tabs>
    </w:pPr>
    <w:r>
      <w:rPr>
        <w:rFonts w:ascii="Arial" w:hAnsi="Arial" w:eastAsia="Arial"/>
        <w:b w:val="0"/>
        <w:i w:val="0"/>
        <w:color w:val="6A6488"/>
        <w:sz w:val="14"/>
      </w:rPr>
      <w:t>Documento referencial de MACA · macainn.cl/recursos · Adáptalo a tu residencia y valídalo con tu asesor antes de usarlo.</w:t>
      <w:tab/>
      <w:t xml:space="preserve">Página </w:t>
    </w:r>
    <w:r>
      <w:rPr>
        <w:rFonts w:ascii="Arial" w:hAnsi="Arial"/>
        <w:color w:val="6A6488"/>
        <w:sz w:val="14"/>
      </w:rPr>
      <w:fldChar w:fldCharType="begin"/>
    </w:r>
    <w:r>
      <w:rPr>
        <w:rFonts w:ascii="Arial" w:hAnsi="Arial"/>
        <w:color w:val="6A6488"/>
        <w:sz w:val="14"/>
      </w:rPr>
      <w:instrText xml:space="preserve">PAGE</w:instrText>
    </w:r>
    <w:r>
      <w:rPr>
        <w:rFonts w:ascii="Arial" w:hAnsi="Arial"/>
        <w:color w:val="6A6488"/>
        <w:sz w:val="14"/>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091" w:val="right"/>
      </w:tabs>
    </w:pPr>
    <w:r>
      <w:drawing>
        <wp:inline xmlns:a="http://schemas.openxmlformats.org/drawingml/2006/main" xmlns:pic="http://schemas.openxmlformats.org/drawingml/2006/picture">
          <wp:extent cx="936000" cy="175158"/>
          <wp:docPr id="1" name="Picture 1"/>
          <wp:cNvGraphicFramePr>
            <a:graphicFrameLocks noChangeAspect="1"/>
          </wp:cNvGraphicFramePr>
          <a:graphic>
            <a:graphicData uri="http://schemas.openxmlformats.org/drawingml/2006/picture">
              <pic:pic>
                <pic:nvPicPr>
                  <pic:cNvPr id="0" name="maca-horizontal.png"/>
                  <pic:cNvPicPr/>
                </pic:nvPicPr>
                <pic:blipFill>
                  <a:blip r:embed="rId1"/>
                  <a:stretch>
                    <a:fillRect/>
                  </a:stretch>
                </pic:blipFill>
                <pic:spPr>
                  <a:xfrm>
                    <a:off x="0" y="0"/>
                    <a:ext cx="936000" cy="175158"/>
                  </a:xfrm>
                  <a:prstGeom prst="rect"/>
                </pic:spPr>
              </pic:pic>
            </a:graphicData>
          </a:graphic>
        </wp:inline>
      </w:drawing>
    </w:r>
    <w:r>
      <w:rPr>
        <w:rFonts w:ascii="Arial" w:hAnsi="Arial" w:eastAsia="Arial"/>
        <w:b/>
        <w:i w:val="0"/>
        <w:color w:val="1B1537"/>
        <w:sz w:val="16"/>
      </w:rPr>
      <w:tab/>
      <w:t>Checklist de seguridad de la información</w:t>
    </w:r>
  </w:p>
  <w:p>
    <w:pPr>
      <w:jc w:val="right"/>
    </w:pPr>
    <w:r>
      <w:rPr>
        <w:rFonts w:ascii="Arial" w:hAnsi="Arial" w:eastAsia="Arial"/>
        <w:b w:val="0"/>
        <w:i w:val="0"/>
        <w:color w:val="6A6488"/>
        <w:sz w:val="14"/>
      </w:rPr>
      <w:t>MACA-DAT-11 · Checklist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de seguridad de la información | MACA</dc:title>
  <dc:subject>Revisión rápida de las medidas que protegen los datos de residentes, familias y trabajadores, en papel y en formato digital.</dc:subject>
  <dc:creator>MACA de MERA INN</dc:creator>
  <cp:keywords>ELEAM, residencias, Decreto 20, MACA</cp:keywords>
  <dc:description>macainn.cl/recursos</dc:description>
  <cp:lastModifiedBy>MACA</cp:lastModifiedBy>
  <cp:revision>1</cp:revision>
  <dcterms:created xsi:type="dcterms:W3CDTF">2026-10-01T00:00:00Z</dcterms:created>
  <dcterms:modified xsi:type="dcterms:W3CDTF">2026-10-01T00:00:00Z</dcterms:modified>
  <cp:category/>
</cp:coreProperties>
</file>